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02/01/2024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3,70%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59,4%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37,7%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6,27%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3,49%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1,98%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11,1%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2,61%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199,8%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53,1%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LEVE3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2,45%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65,7%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4,56%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1,64%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228,6%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69,0%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PETR4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92,0%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CEAB3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260,8%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75,9%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0,80%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3,50%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0,888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-10,4%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0,80%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-2,6%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25,2%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8,44%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55,66%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10,43%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-10,36%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15,1%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-15,9%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LEVE3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PETR4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17,4%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CEAB3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-25,0%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WEGE3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46,9%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