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02/01/2015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CIEL3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29,3%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26,7%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19,2%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42,1%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5,31%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33,8%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4,97%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4,62%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20,9%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33,1%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BBDC4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PSSA3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13,6%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29,7%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1,93%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0,3%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24,3%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7,15%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48,94%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12,86%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-8,77%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CIEL3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-13,4%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-50,6%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-15,3%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-12,6%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BBDC4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-28,3%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PSSA3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21,4%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