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44,3%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6,83%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3,21%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58,8%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4,43%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3,32%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45,7%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24,36%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9,12%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6,13%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15,03%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129,0%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45,4%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14,8%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