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02/01/2019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17,45%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9,54%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7,20%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8,54%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4,15%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3,42%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148,2%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3,57%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0,854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31,3%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25,97%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39,87%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5,72%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91,5%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