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Equilibrado · decisão de 02/01/2020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70% do alvo; severo: 20%/50% → 40%;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AZUL4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78,0%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92,2%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41,5%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7,94%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3,57%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50,9%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23,1%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4,85%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63,5%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22,5%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4,63%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2,81%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14,2%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30,3%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LIGT3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2,77%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46,1%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32,6%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BPAN4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2,13%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476,7%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70,1%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IRBR3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2,10%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4,74%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49,7%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30,8%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Equilibrado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4,21%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49,93%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2,29%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2,88%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AZUL4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-32,0%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MRFG3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46,6%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-12,4%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-0,4%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13,1%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LIGT3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1,7%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BPAN4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-10,9%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IRBR3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-77,7%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