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03/01/2022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516,4%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25,9%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7,22%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173,1%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6,09%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15,3%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5,76%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13,79%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52,6%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3,94%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21,5%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1,80%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29,5%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-15,6%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50,7%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0,95%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-23,40%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4,97%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FHER3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GOAU4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27,9%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USIM5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-49,6%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TASA4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36,1%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-30,4%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