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-9,2%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44,0%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7,57%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8,92%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79,0%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41,7%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5,38%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5,11%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34,5%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96,2%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51,9%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2,90%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74,6%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PRIO3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1,75%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85,6%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RECV3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1,58%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93,8%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49,6%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19,00%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13,85%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12,74%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21,95%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68,0%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-6,2%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22,3%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63,7%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11,8%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PRIO3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25,5%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RECV3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-30,2%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