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6,05%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59,4%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13,84%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5,50%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2,73%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199,8%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3,64%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65,7%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9,18%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228,6%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69,0%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5,50%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55,66%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10,43%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-10,36%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