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 WEALTH SYSTEM: UM ARTEFATO AUDITÁVEL PARA DECISÕES DE CARTEIRA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continuar explicáveis depois de executadas. Este trabalho constrói e avalia o Benevente Wealth System, um artefato que registra os dados admitidos, a regra quantitativa, a carteira proposta, a explicação e a aprovação humana. A pesquisa segue design science e combina testes funcionais, auditoria adversarial e diagnóstico sequencial de onze decisões entre 2015 e 2025. Sete controles capazes de impedir inflação artificial dos resultados foram incorporados. A auditoria também revelou que 13,9% da exposição acumulada a ações dependia de proventos imputados. A reconstrução de 56 observações ativo-ano com eventos da página atual da B3 comparou 54, achou sete divergências acima de cinco pontos percentuais e deixou duas sem resposta; o selo de reconciliação foi recusado. Os retornos são, portanto, diagnóstico de desenvolvimento, não validação comercial. Na reamostragem pareada, os intervalos de 95% do excesso de retorno cruzam zero contra CDI e Ibovespa. O Benevente 1 foi registrado em 16 de agosto de 2026; extensões posteriores não herdam essa data. Atualização posterior (25/08/2026): a seleção aninhada foi aposentada por medição — 36 → 256 candidatos custou 2,63 p.p. ao ano — e a política vigente é declarada e congelada por perfil (Seção 4.1.1). O modelo de linguagem não demonstrou ganho de retorno e permanece restrito à explicação. A contribuição comprovada é separar, de forma verificável,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data.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foi aplicada. Não a regra que o escritório usa hoje, mas a que estava vigente naquele janeiro, com os limites que estavam vigentes.</w:t>
      </w:r>
    </w:p>
    <w:p>
      <w:pPr>
        <w:pStyle w:val="Normal"/>
        <w:ind w:firstLine="0"/>
        <w:numPr>
          <w:ilvl w:val="0"/>
          <w:numId w:val="3"/>
        </w:numPr>
      </w:pPr>
      <w:r>
        <w:t>Quem aprovou. Uma decisão de alocação sem responsável identificado não é auditável, e a automação sem aprovação humana desloca a responsabilidade para um sistema que não pode respondê-la.</w:t>
      </w:r>
    </w:p>
    <w:p>
      <w:pPr>
        <w:pStyle w:val="Normal"/>
      </w:pPr>
      <w:r>
        <w:t>Planilha sobrescreve estado e perde autoria; sistema fechado entrega carteira sem evidenciar critério. O artefato deve permitir que um terceiro refaça a decisão sem depender da memória de quem a produziu.</w:t>
      </w:r>
    </w:p>
    <w:p>
      <w:pPr>
        <w:pStyle w:val="Normal"/>
      </w:pPr>
      <w:r>
        <w:t>A pergunta prioritária é: como usar modelos de linguagem acessíveis à comunidade para apoiar decisões de investimento, e quão úteis são essas ferramentas para a tomada de decisão? No Benevente, ela se torna uma questão de engenharia e governança: como produzir proposta e prova no mesmo fluxo, sem transferir ao texto gerado a seleção, os pesos ou a responsabilidade?</w:t>
      </w:r>
    </w:p>
    <w:p>
      <w:pPr>
        <w:pStyle w:val="Normal"/>
      </w:pPr>
      <w:r>
        <w:t>O objetivo é construir e avaliar um artefato B2B que transforme cada recomendação em documento verificável. O método segue design science: identificar o problema, explicitar requisitos, construir e avaliar o artefato por utilidade, qualidade e evidência (Hevner et al., 2004; Peffers et al., 2007). A avaliação combina testes, inspeção das fontes, busca deliberada de erros e diagnóstico financeiro histórico. A contribuição reúne um protocolo quantitativo reexecutável e um fluxo que preserva quem decidiu, com qual informação e política. O retorno passado mede o comportamento do protótipo, não sua utilidade principal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 poderá ser realizado no Espírito Santo por conveniência e aderência ao congresso, mas sua função será medir o problema e a utilidade do artefato, não confirmar antecipadamente um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 Wealth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misturadas. Dados e fundamentos alimentam a validação. Somente os ativos aceitos seguem para o cálculo. O motor quantitativo devolve pesos válidos e custos estimados. A pessoa revisa a proposta antes da aprovação. O modelo de linguagem recebe apenas fatos já calculados e os converte em uma nota legível, sem caminho de retorno para alterar pesos. O dossiê registra cada uma dessas etapas.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>
        <w:pStyle w:val="Normal"/>
      </w:pPr>
      <w:r>
        <w:t>Preços deslistados exigem eventos societários sem ajuda do provedor. O detector de razões redondas obteve precisão de 88,1% e recall de 23,3%; para tirá-lo da posição de fonte principal, uma rotina consultou a página pública da B3 (2026b), que respondeu para 475 das 497 séries — 9.772 registros, 127 subscrições, 153 eventos manuais; 22 códigos sem resposta. Resposta do endpoint não significa cobertura histórica completa. Entre as 56 observações ativo-ano efetivamente mantidas, 54 puderam ser reconstruídas com o arquivo atual; sete divergiram do retorno ajustado publicado em mais de cinco pontos percentuais e duas observações de MRFG3 ficaram sem resposta. Nenhum evento manual coincidiu com uma posição aberta. A série publicada não foi requalificada: ela continua como dado de pesquisa até que uma base histórica primária ou licenciada consiga reproduzir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>
        <w:pStyle w:val="Normal"/>
      </w:pPr>
      <w:r>
        <w:t>O foco econômico é uma análise fundamentalista multifatorial.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 — família de fatores, número de posições e orçamento de ações — era escolhida ano a ano pela seleção aninhada da Seção 4.1; desde 25/08/2026 ela é declarada e congelada por perfil (Seção 4.1.1).</w:t>
      </w:r>
    </w:p>
    <w:p>
      <w:pPr>
        <w:pStyle w:val="Normal"/>
      </w:pPr>
      <w:r>
        <w:t>Essa separação também resolve a ambiguidade entre os nomes. Benevente Quant AI designa a pesquisa acadêmica, inclusive o experimento que combina um modelo de linguagem com um otimizador convexo. Benevente Wealth System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>
        <w:pStyle w:val="Normal"/>
      </w:pPr>
      <w:r>
        <w:t>Sem expor o código da aplicação, a lógica é verificável.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sinais. Somente anos encerrados podem ordenar as alternativas de cada janeiro. Pesos, limites, transformações e arquivos recebem SHA-256.</w:t>
      </w:r>
    </w:p>
    <w:p>
      <w:pPr>
        <w:pStyle w:val="Heading2"/>
      </w:pPr>
      <w:r>
        <w:t>3.4 POR QUE A DECISÃO É ANUAL</w:t>
      </w:r>
    </w:p>
    <w:p>
      <w:pPr>
        <w:pStyle w:val="Normal"/>
      </w:pPr>
      <w:r>
        <w:t>A cadência anual é coerente com o sinal e foi testada: fundamentos são divulgados em ciclos contábeis e a tese precisa de tempo para aparecer no preço; troca mensal vende a empresa antes do reconhecimento e multiplica decisões a justificar. A revisão em janeiro cria uma fronteira simples — o publicado até a data entra, o resto pertence ao próximo ciclo.</w:t>
      </w:r>
    </w:p>
    <w:p>
      <w:pPr>
        <w:pStyle w:val="Normal"/>
      </w:pPr>
      <w:r>
        <w:t>Anual não significa ignorar risco por doze meses — preço, concentração, liquidez e eventos seguem monitorados, e uma política institucional pode prever gatilho extraordinário; significa que a reseleção sistemática ocorre uma vez ao ano. Mantidas regra e dados, a cadência anual superou trimestral e mensal antes dos custos; onze anos pareados não provam otimalidade, apenas ausência de evidência para trocar a regra mais simples.</w:t>
      </w:r>
    </w:p>
    <w:p>
      <w:pPr>
        <w:pStyle w:val="Normal"/>
      </w:pPr>
      <w:r>
        <w:t>Notícias não entram no retorno histórico. No acompanhamento corrente, um radar com Gemini lê fontes públicas e classifica alertas para revisão humana, sem alterar ativos ou pesos; avaliá-las exige braço prospectivo com horário de publicação e decisões arquivadas antes do desfecho — misturá-las retrospectivamente reabriria o uso de informação futura.</w:t>
      </w:r>
    </w:p>
    <w:p>
      <w:pPr>
        <w:pStyle w:val="Heading2"/>
      </w:pPr>
      <w:r>
        <w:t>3.5 CUSTOS, IMPOSTO E EXECUÇÃO</w:t>
      </w:r>
    </w:p>
    <w:p>
      <w:pPr>
        <w:pStyle w:val="Normal"/>
      </w:pPr>
      <w:r>
        <w:t>Retorno bruto não é resultado. O sistema modela três parcelas.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relativo ao volume médio diário do papel. Uma ordem grande em papel ilíquido custa mais, como custa na prática.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obrigatória. Nenhuma ordem é transmitida, nem pode ser, porque a arquitetura não tem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linguagem. O modelo organiza tese e riscos a partir de fatos já aprovados. Ele não define peso, não altera limite e não aprova ativo. Isso é uma restrição de arquitetura verificável, não uma promessa de conduta, e a Seção 5.5 mostra o experimento que testou o que aconteceria se ela fosse relaxada.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pós-operação.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versionados.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Resultado posterior: o limite de capacidade da própria busca (25/08/2026)</w:t>
      </w:r>
    </w:p>
    <w:p>
      <w:pPr>
        <w:pStyle w:val="Normal"/>
      </w:pPr>
      <w:r>
        <w:t>Após o fechamento deste texto, a defesa da Seção 4.1 foi testada em si mesma: com insumos, código e janela idênticos (as 36 configurações compartilhadas reproduzem com diferença máxima de 5,6×10⁻¹⁷), a mesma seleção aninhada sobre 256 candidatos rendeu 12,68% ao ano contra 15,31% da grade de 36, e o Sharpe deflacionado caiu de 0,957 para 0,777, abaixo da significância — o máximo esperado sob a hipótese nula subiu de 0,375 para 0,746. Em 2018, o seletor amplo dedicou o ano a uma configuração que rendeu −7,2% contra 6,4% do CDI. A seleção aninhada tem, portanto, um limite de capacidade: dez observações anuais não ranqueiam 256 candidatos, e ultrapassá-lo degrada em silêncio a garantia que o protocolo oferece.</w:t>
      </w:r>
    </w:p>
    <w:p>
      <w:pPr>
        <w:pStyle w:val="Normal"/>
      </w:pPr>
      <w:r>
        <w:t>A resposta foi declarar em vez de buscar: uma configuração por perfil — conservador (35% em ações, 12 emissores), equilibrado (55%, 8) e arrojado (75%, 5), com um quinto do orçamento de ações num fundo B3 do S&amp;P 500 em reais — congelada no registro benevente_profile_ladder_v2 (SHA-256 fc5521f1…), com assinante, critério de falseamento e amostra confirmatória a partir de 2027. No diagnóstico 2015–2025, cada perfil bateu o CDI em 8 de 11 anos, com quedas máximas de −9,2%, −17,9% e −28,9% sob a camada de proteção. O experimento completo está em manuscrito próprio (declared_over_searched_2026), e todo número publicado é conferido por máquina contra os artefatos. A mesma auditoria corrigiu a referência do Ibovespa para a série datada de origem (11,74% a.a., queda de −46,8%), após constatar deriva na curva rebaseada do motor.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>
        <w:pStyle w:val="Normal"/>
      </w:pPr>
      <w:r>
        <w:t>O Ibovespa mede o retorno total de uma carteira teórica e estabelece a referência econômica do mercado. Não é diretamente investível, mas evita duplicar no texto duas séries quase idênticas.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séries. Em 139 delas, a distribuição de proventos precisou ser imputada porque não havia cobertura integral do provedor. Uma contagem por ticker seria insuficiente, pois uma série problemática pode nunca entrar na carteira. A auditoria cruzou, por ano, a política realmente escolhida, os pesos dos ativos e o tipo de reconstrução de cada série. A medida principal é a parcela da exposição acumulada a ações que dependeu de provento imputado.</w:t>
      </w:r>
    </w:p>
    <w:p>
      <w:pPr>
        <w:pStyle w:val="Normal"/>
      </w:pPr>
      <w:r>
        <w:t>Dois testes de sensibilidade complementam essa inspeção. O primeiro reamostra, em conjunto, os vetores anuais completos de retorno da estratégia e de cada comparador. Foram produzidas 100 mil amostras com semente registrada. O pareamento conserva a relação observada em cada ano e mede estabilidade interna, mas não cria crises novas nem corrige a fonte. O segundo aplica perdas hipotéticas de 10, 25, 50 e 100 pontos percentuais somente à parcela anual investida em séries imputadas. O objetivo é mostrar quanto o resultado depende dessa hipótese, e não adivinhar qual teria sido o provento correto.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versão anual Benevente 1 foi registrada em 16 de agosto de 2026, com hash e data no repositório. O Benevente 2 e o protocolo de acompanhamento receberam registros próprios depois das respectivas mudanças. O Benevente 1 permanece como a regra anual publicada. O Benevente 2 é a extensão de risco acompanhada em carteira-sombra desde 2026; seu histórico de 2015 a 2025 continua sendo diagnóstico retrospectivo, não validação prospectiva. Para sustentar uma conclusão futura, a versão precisa superar CDI e Ibovespa após custos e tributos aplicáveis, manter queda máxima inferior a 35% e acumular pelo menos três anos de observações posteriores ao registro. Não existe resultado prospectivo suficiente na data deste artigo. A carteira formada em janeiro de 2026 é apenas carteira-sombra, pois antecede os registros. Uma regra não poderá ser alterada depois de observado um resultado desfavorável sem que a mudança constitua nova versão e nova contagem.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saiu com fontes, hashes, elegibilidade, ranking, pesos, custos, comparadores e justificativa; os testes de integridade recusaram arquivo alterado, peso que não soma 100%, ordem acima da liquidez e fundamento recebido após a decisão. A auditoria adversarial (Seção 5.7) achou sete defeitos no próprio processo, e corrigi-los mudou as métricas — o registro contesta o resultado que o sistema produz.</w:t>
      </w:r>
    </w:p>
    <w:p>
      <w:pPr>
        <w:pStyle w:val="Normal"/>
      </w:pPr>
      <w:r>
        <w:t>A Tabela 2 apresenta o diagnóstico de onze decisões (2015–2025), líquido de custos estimados: comportamento do protótipo no desenvolvimento, não validação prospectiva nem promessa de repetição.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da carteira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1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2,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2,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1,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no Benevente 1, R$ 643.774 no Benevente 2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carteira vence 8 de 9 janelas de três anos, 6 de 7 de cinco anos e 2 de 2 de dez anos. Contra a otimização de referência, vence todas as janelas de três, cinco e dez anos. Essas contagens não são observações independentes: as nove janelas de três anos contêm apenas três blocos sem sobreposição, e as de dez anos contêm apenas um. Elas descrevem a amostra, mas não aumentam artificialmente seu tamanho.</w:t>
      </w:r>
    </w:p>
    <w:p>
      <w:pPr>
        <w:pStyle w:val="Normal"/>
      </w:pPr>
      <w:r>
        <w:t>O retorno do Benevente 1 veio acompanhado de risco elevado. A queda máxima diária chegou a 47,8%, praticamente igual à do Ibovespa, 47,0%. Entre 2018 e 2021, a política selecionada manteve 95% em ações e concentrou essa parcela em cinco ou seis emissores. O Benevente 2, extensão de risco hoje acompanhada em carteira-sombra, preservou os mesmos ativos e reduziu a exposição somente depois de estresse observado, levando a queda máxima retrospectiva a 28,7%. A maior perda ocorreu na Covid-19; fora desse episódio, as quedas observadas foram menores. Isso torna a versão 2 mais compatível com uma política equilibrada, mas a amostra não permite classificá-la como conservadora nem afirmar proteção futura.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da carteira de 17,86% para 16,78%. Com 25 pontos, ele cai para 15,11%; com 50, para 12,16%; e com 100, para 5,41%. A carteira deixa de superar o Ibovespa quando a penalização nessa parcela chega a aproximadamente 53 pontos percentuais e deixa de superar o CDI perto de 70 pontos. O teste mostra alguma margem econômica, mas não repara o dado. Como metade da carteira de 2020 dependeu de séries imputadas, o retorno histórico deve permanecer diagnóstico até a reconciliação dos eventos e proventos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ainda cruzou zero contra CDI e Ibovespa. Somente a comparação com a implementação específica de MVO permaneceu positiva em todo o intervalo. Isso não autoriza concluir que o Benevente supera esses referenciais na população; mostra apenas que a ordenação observada não dependeu de um único ano sorteado repetidamente.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importante. Reamostrar onze anos não cria um mercado de baixa prolongado que não esteja na série, não produz novas trajetórias de inflação e juros e não transforma desenvolvimento em validação externa. A informação correta é que há estabilidade interna suficiente para continuar o teste prospectivo, não que a superioridade esteja comprovada.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diz que escolher a política vencedora conhecendo toda a amostra teria rendido 0,65 ponto percentual a mais por ano do que a escolha sequencial. Em uma versão anterior, com um ano a menos de histórico inicial, esse prêmio era de 4,98 pontos. Ampliar a base reduziu a parcela do retorno explicada pela escolha posterior da regra. O Sharpe deflacionado também corrige múltiplas tentativas, mas não resolve a dependência de dados nem a ausência de teste prospectivo. Ele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Ver Seção 4.1.1: 36 → 256 candidatos custou 2,63 pontos percentuais ao ano e a significância. É a rejeição que reorganizou o protocolo.</w:t>
      </w:r>
    </w:p>
    <w:p>
      <w:pPr>
        <w:pStyle w:val="Normal"/>
      </w:pPr>
      <w:r>
        <w:t>Pesar pelo inverso da volatilidade. Contra o peso publicado, perdeu em 8 de 8 configurações — 0,95 ponto de queda a menos por 2,11 pontos de retorno — e piorou o pior ano justamente nas cestas largas onde deveria ajudar.</w:t>
      </w:r>
    </w:p>
    <w:p>
      <w:pPr>
        <w:pStyle w:val="Normal"/>
      </w:pPr>
      <w:r>
        <w:t>Meta de volatilidade em janeiro. Cortou exposição em 5 de 13 anos, sempre depois de um estresse e nunca antes: 2020 rodou cheio e a queda máxima não mudou um dia; 2016 foi cortado a 8,8% de ações num ano de +35%.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meses, distância do topo) tentaram antecipar se o ano seria de ações ou de caixa. O melhor acertou 3 de 4 chamadas (p = 0,31): sorte e habilidade indistinguíveis, com prêmio potencial de 6,5 p.p. ao ano inalcançado. Sem sinal.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estático. A regra de média-variância foi significativamente pior. O prêmio por acertar o tempo existe, mas nenhum sinal testado o capturou.</w:t>
      </w:r>
    </w:p>
    <w:p>
      <w:pPr>
        <w:pStyle w:val="Normal"/>
      </w:pPr>
      <w:r>
        <w:t>Reseleção mais frequente da cesta. Questão distinta da anterior: não a proporção ações/caixa, mas se a própria cesta deveria ser retriada mais vezes por ano. Três cadências, mesma regra, mesmos limites, mesmo painel; só as datas de decisão variam.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fica 1,55 p.p. abaixo (p = 0,376) e a mensal 3,27 (p = 0,306). A leitura correta é ausência de evidência a favor, não prova de prejuízo.</w:t>
      </w:r>
    </w:p>
    <w:p>
      <w:pPr>
        <w:pStyle w:val="Normal"/>
      </w:pPr>
      <w:r>
        <w:t>A diferença nasce antes dos custos — o bruto cai 4,66 pontos de anual para mensal; o sinal amadurece devagar. O modelo tributário até favorece o braço mensal, que mesmo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O Benevente 2 reduz a exposição após estresse de queda e volatilidade do Ibovespa. No histórico, a queda máxima recuou de 47,8% para 28,7%. A configuração escolhida somente com 2015–2018 também elevou o CAGR de 17,86% para 18,45%, mas a diferença anual de retorno em 2019–2025 não foi detectável (p = 0,964). Para R$ 100 mil, a estimativa agregada do imposto incremental das reduções foi de R$ 2.195 e levou o valor terminal estimado de R$ 643.774 para R$ 634.531, antes da tributação já pertencente à revisão anual. A extensão é acompanhada em carteira-sombra desde 2026;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A futura extensão Benevente 3 avaliará prospectivamente fidelidade, completude, cobertura de riscos e números inventados. Ela não seleciona ativos nem herda os resultados das versões 1 e 2.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as empresas são identificadas apenas por números, de modo que o modelo vê os fundamentos e não as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 algum,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e sem restrições.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estatísticos não permitem rejeitar a hipótese de ausência de diferença, e cada um responde a uma pergunta diferente.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identidade. Isso não prova ausência de contaminação: o modelo pode inferir a empresa pelos fundamentos ou reconhecer padrões aprendidos depois do período avaliado.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retorno.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5 dos 13 anos e omitiu dezenas de ativos elegíveis sem sinalizar. O otimizador garante uma alocação válida antes da explicação.</w:t>
      </w:r>
    </w:p>
    <w:p>
      <w:pPr>
        <w:pStyle w:val="Normal"/>
      </w:pPr>
      <w:r>
        <w:t>A conclusão de produto é direta. O modelo organiza e explica decisões, mas não as gera. Qualquer futuro uso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O artefato passou por auditoria interna adversarial. Sete defeitos foram encontrados e corrigidos, e todos inflavam o resultado.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Essa mudança é uma evidência de funcionamento do processo de controle: a auditoria foi capaz de piorar a narrativa quando os dados assim exigiram. Ela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de valores mobiliários, gestores patrimoniais e escritórios multifamiliares. Para a instituição, o Benevente transforma a documentação em consequência do próprio trabalho: a política aplicada, os dados e seus hashes, a elegibilidade, os pesos, as ordens, o custo estimado e a aprovação permanecem ligados à mesma decisão. Para o profissional, isso reduz o tempo gasto reconstruindo uma recomendação. Para o cliente, permite responder tanto por que um papel entrou quanto por que outro ficou de fora.</w:t>
      </w:r>
    </w:p>
    <w:p>
      <w:pPr>
        <w:pStyle w:val="Normal"/>
      </w:pPr>
      <w:r>
        <w:t>O benefício comercial não deve ser apresentado como promessa de superar o mercado. O valor a testar está na consistência do processo, na comparação explícita com alternativas e na capacidade de revisão. O retorno continua sendo medido, acompanhado e discutido, sem se tornar garantia ou substituto da adequação ao perfil do cliente.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pela política equilibrada em estudo. O usuário vê quais arquivos e demonstrações estavam disponíveis e quais passaram na validação. A triagem mostra aprovados e reprovados com o respectivo motivo. A carteira candidata apresenta pesos, parcela defensiva, custo e comparação com CDI, Ibovespa e MVO. Em seguida, o profissional revisa a tese em linguagem natural, registra riscos, aprova ou rejeita a proposta e informa a justificativa. O dossiê final reúne esse percurso e a versão da regra. Laboratório e documento de decisão são, portanto, duas vistas do mesmo registro, e não etapas desconectadas.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piloto, o sistema acompanha poucas carteiras sem enviar ordens e os dossiês são confrontados com o processo vigente. Na operação assistida, a conciliação de custos e posições fecha o ciclo entre proposta e execução. Integrações com corretora, custódia, identidade e arquivo pertencem a essa etapa e não bloqueiam o teste inicial.</w:t>
      </w:r>
    </w:p>
    <w:p>
      <w:pPr>
        <w:pStyle w:val="Normal"/>
      </w:pPr>
      <w:r>
        <w:t>A oferta a validar combina licença institucional e implantação. O piloto medirá tempo, completude da evidência, revisões, diferença entre custo estimado e executado e disposição a pagar. Um teste no Espírito Santo atende ao recorte do congresso, mas não permite presumir retenção de capital ou negócios no estado. Esse efeito exigiria pesquisa própria.</w:t>
      </w:r>
    </w:p>
    <w:p>
      <w:pPr>
        <w:pStyle w:val="Normal"/>
      </w:pPr>
      <w:r>
        <w:t>O produto permanece em estágio de protótipo reprodutível. A janela de 2015 a 2025 foi usada no desenvolvimento e descreve a amostra, não o futuro. A avaliação prospectiva começa no registro congelado, cujo hash foi versionado e recebeu data carimbada por terceiro. Essa separação entre diagnóstico e acompanhamento futuro é parte do produto, não apenas uma ressalva acadêmica.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9 delimita o que pode ser afirmado na submissão e é o contrato de comunicação da demonstração.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 de 16/08/2026, mínimo de três anos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sem alfa do modelo (Perlin et al., 2025; Li et al., 2026), valor narrativo plausível sem autorizar pesos (Kim et al., 2024), exigência prospectiva (Pelster &amp; Val, 2024). Cada achado externo reforça uma fronteira do artefato.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de 0,65 ponto percentual e o Sharpe deflacionado tratam parte do risco de múltiplas tentativas, mas não equivalem a validação prospectiva. A reamostragem também não cria regimes que a história não contém.</w:t>
      </w:r>
    </w:p>
    <w:p>
      <w:pPr>
        <w:pStyle w:val="Normal"/>
      </w:pPr>
      <w:r>
        <w:t>A segunda limitação está nos dados. A página atual da B3 respondeu para 95,6% das séries consultadas, mas esse percentual mede resposta do serviço, não completude histórica. A reconstrução das posições efetivamente mantidas encontrou sete diferenças materiais em 54 comparações e duas observações sem resposta. Papéis sem cobertura completa recebem, em casos identificados, uma distribuição imputada pela mediana transversal do ano. Essa fragilidade atingiu 13,9% da exposição acumulada a ações e 50% da carteira total em 2020. O novo arquivo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A queda máxima diária do Benevente 1 chegou a 47,8%, ligeiramente pior que os 47,0% do Ibovespa. O Benevente 2 reduziu essa marca retrospectiva para 28,7% e melhorou o retorno pontual, mas foi concebido depois da Covid-19, não possui imposto intranual conciliado por lote e ainda não demonstrou benefício prospectivo.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antecipou a Covid-19, não seleciona ativos e não define pesos. O radar atual lê e classifica notícias com Gemini para alerta humano, mas não participa do retorno histórico nem muda a carteira.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após o registro congelado. Em paralelo, uma versão institucional precisará adquirir ou construir um livro histórico de eventos capaz de cobrir os 22 códigos não devolvidos e reproduzir as sete diferenças materiais encontradas no escopo da estratégia. A reamostragem em blocos já mede dependência serial curta; testes seguintes devem acrescentar trajetórias sintéticas com regimes de baixa prolongada que não estejam limitadas à ordem histórica. Simulação não substitui observação futura. Um estudo com notícias deve ser registrado como braço separado, com frequência trimestral ou orientada a eventos e horário verificável. O passo de produto é um piloto silencioso, sem execução automática, capaz de medir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Wealth System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 retorno anualizado superou os comparadores com queda máxima semelhante à do mercado; incerteza amostral e imputação parcial impedem tratar isso como superioridade comprovada. Os negativos são informativos — reselecionar mais rápido não ajudou, o modelo de linguagem não acrescentou retorno, a alocação direta por texto saiu aritmeticamente inconsistente em parte dos anos, e a própria busca de configurações se degradou ao ser ampliada (Seção 4.1.1). Justifica-se um sistema em que a matemática calcula, a linguagem explica e uma pessoa responde.</w:t>
      </w:r>
    </w:p>
    <w:p>
      <w:pPr>
        <w:pStyle w:val="Normal"/>
      </w:pPr>
      <w:r>
        <w:t>A conclusão comprovada é estreita e defensável: o artefato cria uma cadeia auditável e a usa para descobrir erros que mudam o próprio resultado — inclusive recusando uma fonte primária incapaz de reproduzir a série publicada. A viabilidade comercial será confirmada somente se um piloto mostrar ganho de tempo, completude documental, compreensão e disposição a pagar. A validade financeira exigirá uma base histórica reconciliável e dados posteriores ao registro; a política de risco começa sua amostra confirmatória em 2027. Até lá, o desempenho histórico permanece diagnóstico de desenvolvimento.</w:t>
      </w:r>
    </w:p>
    <w:p>
      <w:pPr>
        <w:pStyle w:val="Normal"/>
      </w:pPr>
      <w:r>
        <w:t>Nota (25/08/2026).</w:t>
      </w:r>
      <w:r>
        <w:t xml:space="preserve"> O ciclo de auditoria alcançou o próprio protocolo: a busca aninhada foi aposentada por medição (Seção 4.1.1) e substituída por políticas declaradas e congeladas por perfil. Os números aqui reportados permanecem reprodutíveis e descrevem a regra do período; o que muda é a alegação — de "escolher sem ler a resposta" para "medir o limite dessa escolha e declarar quando ele é atingido".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O código, os testes, os manifestos e os arquivos de evidência estão em https://github.com/diegogallina1/benevente. A demonstração está em https://benevente-wealth-system.vercel.app/. O repositório documenta fontes, limitações e comandos de reprodução.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 Wealth System.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 Wealth System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