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BENEVENTE: UM ARTEFATO AUDITÁVEL PARA DECISÕES DE CARTEIRA POR PERFIL DE INVESTIDOR</w:t>
      </w:r>
    </w:p>
    <w:p>
      <w:pPr>
        <w:pStyle w:val="Authornames"/>
        <w:spacing w:before="0" w:after="0"/>
        <w:ind w:firstLine="0"/>
        <w:jc w:val="center"/>
      </w:pPr>
      <w:r>
        <w:t>Diego Gallina</w:t>
      </w:r>
    </w:p>
    <w:p>
      <w:pPr>
        <w:pStyle w:val="Affiliation"/>
        <w:spacing w:before="0" w:after="240"/>
        <w:ind w:firstLine="0"/>
        <w:jc w:val="center"/>
      </w:pPr>
      <w:r>
        <w:t>Pesquisador, Fucape Business School, Vitória, ES, Brasil, diego@wisesearch.com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permanecer explicáveis depois de executadas. Este trabalho constrói e avalia o Benevente, um sistema que registra, para cada decisão, os dados admitidos, a regra quantitativa vigente, a carteira proposta, a explicação e a aprovação humana. A pesquisa segue design science e combina testes funcionais, auditoria adversarial e diagnóstico sequencial de onze decisões anuais entre 2015 e 2025. A política vigente, denominada Benevente 3, declara três perfis de investidor, do conservador ao arrojado, com orçamento de renda variável, número de emissores e fração internacional congelados em registro público antes do período confirmatório, que começa em 2027. A declaração substituiu a busca de configurações depois de um experimento controlado: ampliar a seleção aninhada de 36 para 256 candidatos, com insumos idênticos, reduziu o retorno realizado em 2,63 pontos percentuais ao ano e levou o índice de Sharpe deflacionado de 0,957 a 0,777, abaixo do limiar de significância. A auditoria também dimensionou a dependência de proventos imputados, correspondente a 13,9% da exposição acumulada a ações, recusou o selo de reconciliação externa após comparar 54 de 56 observações ativo-ano com a fonte primária, e manteve os intervalos de 95% do excesso de retorno cruzando zero contra CDI e Ibovespa. Os retornos históricos são, portanto, diagnóstico de desenvolvimento, e não validação comercial. O modelo de linguagem não demonstrou ganho de retorno e permanece restrito à explicação. A contribuição é um fluxo verificável que separa dado, cálculo, linguagem e responsabilidade.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O problema é operacional: a recomendação é produzida hoje e defendida anos depois; sem preservar dado admitido, versão da regra e aprovação, a justificativa posterior incorpora informação que não existia. O Benevente produz proposta e registro verificável no mesmo fluxo. Intensidade do problema e disposição a pagar ainda dependem de piloto; o artigo não presume impacto regional nem demanda.</w:t>
      </w:r>
    </w:p>
    <w:p>
      <w:pPr>
        <w:pStyle w:val="Normal"/>
      </w:pPr>
      <w:r>
        <w:t>Quando um cliente pergunta por que uma ação entrou na carteira anos antes, o escritório precisa demonstrar três coisas.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data: um balanço republicado em 2024 não pode aparecer como disponível em janeiro de 2023, e sem controle de data de recebimento a justificativa fica contaminada por informação que ninguém tinha.</w:t>
      </w:r>
    </w:p>
    <w:p>
      <w:pPr>
        <w:pStyle w:val="Normal"/>
        <w:ind w:firstLine="0"/>
        <w:numPr>
          <w:ilvl w:val="0"/>
          <w:numId w:val="3"/>
        </w:numPr>
      </w:pPr>
      <w:r>
        <w:t>Qual regra estava vigente naquele janeiro, com os limites então vigentes, e não a regra usada hoje.</w:t>
      </w:r>
    </w:p>
    <w:p>
      <w:pPr>
        <w:pStyle w:val="Normal"/>
        <w:ind w:firstLine="0"/>
        <w:numPr>
          <w:ilvl w:val="0"/>
          <w:numId w:val="3"/>
        </w:numPr>
      </w:pPr>
      <w:r>
        <w:t>Quem aprovou, porque uma decisão sem responsável identificado não é auditável e a automação sem aprovação humana desloca a responsabilidade para um sistema que não pode respondê-la.</w:t>
      </w:r>
    </w:p>
    <w:p>
      <w:pPr>
        <w:pStyle w:val="Normal"/>
      </w:pPr>
      <w:r>
        <w:t>Uma planilha sobrescreve o próprio estado e perde a autoria das alterações; um sistema fechado entrega a carteira sem evidenciar o critério. O artefato deve permitir que um terceiro refaça a decisão sem depender da memória de quem a produziu.</w:t>
      </w:r>
    </w:p>
    <w:p>
      <w:pPr>
        <w:pStyle w:val="Normal"/>
      </w:pPr>
      <w:r>
        <w:t>A pergunta prioritária, como usar modelos de linguagem acessíveis à comunidade para apoiar decisões de investimento, torna-se no Benevente uma questão de engenharia e governança: como produzir proposta e prova no mesmo fluxo, sem transferir ao texto gerado a seleção, os pesos ou a responsabilidade.</w:t>
      </w:r>
    </w:p>
    <w:p>
      <w:pPr>
        <w:pStyle w:val="Normal"/>
      </w:pPr>
      <w:r>
        <w:t>O objetivo é construir e avaliar um artefato B2B que transforme cada recomendação em documento verificável. O método segue design science: identificar o problema, explicitar requisitos, construir e avaliar o artefato por utilidade, qualidade e evidência (Hevner et al., 2004; Peffers et al., 2007). A avaliação combina testes, inspeção das fontes, busca deliberada de erros e diagnóstico financeiro histórico. A contribuição reúne um protocolo quantitativo reexecutável e um fluxo que preserva quem decidiu, com qual informação e política. O retorno passado mede o comportamento do protótipo, não sua utilidade principal nem o desempenho futuro.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inicial são escritórios de investimento, consultorias de valores mobiliários e gestão patrimonial que precisam recomendar, revisar e defender carteiras: preservar o contexto da decisão, demonstrar por que cada ativo entrou ou não, e comparar com alternativas reconhecíveis pelo cliente. O piloto comercial proposto, descrito na Seção 6.3, medirá o problema e a utilidade do artefato, sem presumir efeito sobre a economia local.</w:t>
      </w:r>
    </w:p>
    <w:p>
      <w:pPr>
        <w:pStyle w:val="Normal"/>
      </w:pPr>
      <w:r>
        <w:t xml:space="preserve">Três vieses clássicos de backtesting foram tratados como requisitos de projeto. O viés de sobrevivência é mitigado ao reconstruir o universo pelo arquivo histórico da B3 e manter os deslistados; ainda resta reconciliar integralmente seus eventos societários. O viés de antecipação, ou </w:t>
      </w:r>
      <w:r>
        <w:rPr>
          <w:i/>
        </w:rPr>
        <w:t>look-ahead</w:t>
      </w:r>
      <w:r>
        <w:t xml:space="preserve">, é mitigado pela data de recebimento de ITR e DFP e pelo corte anual; republicações e fontes auxiliares continuam sujeitas a inspeção. O viés de mineração de dados, ou </w:t>
      </w:r>
      <w:r>
        <w:rPr>
          <w:i/>
        </w:rPr>
        <w:t>data-snooping</w:t>
      </w:r>
      <w:r>
        <w:t>, é limitado pela seleção aninhada, pelo prêmio de retrospectiva e pelo Sharpe deflacionado (Bailey &amp; López de Prado, 2014), mas onze decisões não substituem uma amostra prospectiva.</w:t>
      </w:r>
    </w:p>
    <w:p>
      <w:pPr>
        <w:pStyle w:val="Normal"/>
      </w:pPr>
      <w:r>
        <w:t>Markowitz (1952) fundamenta a comparação média-variância, ou MVO, calculada de modo independente sobre o mesmo conjunto elegível. Black e Litterman (1992) inspiram apenas a separação entre visões e alocação, não um modelo implementado. DeMiguel, Garlappi e Uppal (2009) justificam diversificação e cautela diante do erro de estimação; o MVO de 7,83% ao ano nesta execução descreve um comparador específico, não inferioridade geral. Qualidade, valor e confirmação de mercado dialogam com Novy-Marx (2013) e Fama e French (2015). Custos, giro e deslizamento entram no protocolo porque atritos podem consumir anomalias (Novy-Marx &amp; Velikov, 2016).</w:t>
      </w:r>
    </w:p>
    <w:p>
      <w:pPr>
        <w:pStyle w:val="Normal"/>
      </w:pPr>
      <w:r>
        <w:t>A literatura recente separa utilidade narrativa de capacidade preditiva: Perlin et al. (2025), com 30 mil simulações e 1.522 empresas anonimizadas, não encontram superioridade consistente de LLM sobre 1/N ou S&amp;P 500; Pelster e Val (2024) defendem o experimento ao vivo contra conhecimento posterior; Kim, Muhn e Nikolaev (2024) mostram extração narrativa útil sem alfa de negociação; Li et al. (2026, FINSABER) veem vantagens aparentes se deteriorarem em universos amplos e regimes distintos; FINCON (Yu et al., 2024) inspira divisão de responsabilidades, não autonomia. Esse conjunto sustenta a escolha do Benevente: a regra calcula, o modelo apenas explica fatos aprovados, e a utilidade será avaliada prospectivamente.</w:t>
      </w:r>
    </w:p>
    <w:p>
      <w:pPr>
        <w:pStyle w:val="Normal"/>
      </w:pPr>
      <w:r>
        <w:t>Essas escolhas definem o tipo de evidência que o trabalho pode produzir. O backtest é um experimento histórico sobre um protocolo, não uma simulação da experiência de cada cliente, cuja carteira implementável depende de suitability, liquidez, tributação e restrições contratuais. O artefato separa, por isso, a regra que mede o sinal, a política institucional que limita o risco e o texto explicativo que apoia a revisão humana.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misturadas: dados e fundamentos alimentam a validação; somente os ativos aceitos seguem para o cálculo; o motor quantitativo devolve pesos válidos e custos estimados; a pessoa revisa a proposta antes da aprovação. O modelo de linguagem recebe apenas fatos já calculados e os converte em nota legível, sem caminho de retorno para alterar pesos, e o dossiê registra cada etapa.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O painel construído cobre 514 emissores entre 2010 e 2025, dos quais 166 deixam de negociar antes de dezembro de 2025, 77 deles antes de 2020, e 58 já haviam perdido mais de 60% do próprio topo quando pararam de negociar. Um painel montado a partir de provedor público não contém essas empresas; excluí-las equivaleria a medir apenas os sobreviventes e a superestimar o retorno da estratégia.</w:t>
      </w:r>
    </w:p>
    <w:p>
      <w:pPr>
        <w:pStyle w:val="Normal"/>
      </w:pPr>
      <w:r>
        <w:t>Preços de papéis deslistados exigem reconstruir eventos societários sem ajuda do provedor. O detector de razões redondas obteve precisão de 88,1% e recall de 23,3%; para retirá-lo da posição de fonte principal, uma rotina consultou a página pública da B3 (2026b), que respondeu para 475 das 497 séries, com 9.772 registros, 127 subscrições e 153 eventos manuais; 22 códigos ficaram sem resposta. Entre as 56 observações ativo-ano efetivamente mantidas, 54 puderam ser reconstruídas com o arquivo atual; sete divergiram do retorno ajustado publicado em mais de cinco pontos percentuais e duas observações de MRFG3 ficaram sem resposta. A série publicada continua como dado de pesquisa até que uma base histórica primária ou licenciada reproduza cada retorno desde o preço bruto.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ano, e sua cobertura é publicada em vez de suposta. Em 2012, primeiro ano da série, 266 de 314 ações tiveram ponte aceita e 171 tiveram fundamentos completos, porque a série do ITR começa em 2011 e 2012 é o primeiro ano em que a construção de doze meses tem os dois lados disponíveis.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responder por que um papel conhecido não entrou.</w:t>
      </w:r>
    </w:p>
    <w:p>
      <w:pPr>
        <w:pStyle w:val="Normal"/>
      </w:pPr>
      <w:r>
        <w:t>O foco econômico é uma análise fundamentalista multifatorial: qualidade avalia a capacidade de remunerar o capital; valor exige preço coerente com lucros, patrimônio ou geração de caixa; o momento de doze meses funciona como confirmação de mercado; a liquidez determina se a tese é executável. Bancos e empresas operacionais recebem métricas distintas, e o retorno histórico entra como fator complementar, sem substituir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No período aqui avaliado, a configuração completa, formada pela família de fatores, pelo número de posições e pelo orçamento de ações, era escolhida ano a ano pela seleção aninhada da Seção 4.1. Desde 25 de agosto de 2026 ela é declarada e congelada por perfil de investidor, conforme a Seção 3.4.</w:t>
      </w:r>
    </w:p>
    <w:p>
      <w:pPr>
        <w:pStyle w:val="Normal"/>
      </w:pPr>
      <w:r>
        <w:t>Essa separação também organiza os nomes usados neste texto. Benevente designa o produto. Benevente 1 designa o módulo de seleção anual; Benevente 2, a camada de proteção intranual; Benevente 3, a política vigente, que declara os dois mecanismos por perfil de investidor e é descrita na Seção 3.4. Benevente Quant AI designa a pesquisa acadêmica, inclusive o experimento que combina um modelo de linguagem com um otimizador convexo. A carteira histórica publicada é produzida pela regra multifatorial determinística. O modelo de linguagem não seleciona ativos nem define pesos; seu papel é transformar fatos aprovados em tese, riscos e perguntas para revisão humana.</w:t>
      </w:r>
    </w:p>
    <w:p>
      <w:pPr>
        <w:pStyle w:val="Normal"/>
      </w:pPr>
      <w:r>
        <w:t>Sem expor o código da aplicação, a lógica é verificável: o sistema elimina ativos sem dados, liquidez ou lucro compatíveis, testa quatro leituras pré-declaradas e, na versão multifatorial, combina 40% de qualidade, 40% de lucro em relação ao preço e 20% de momento em doze meses. As 36 políticas candidatas cruzam orçamentos de ações de 55%, 75% e 95%, cestas de 5, 8 ou 12 emissores e quatro sinais; somente anos encerrados ordenam as alternativas de cada janeiro. Pesos, limites, transformações e arquivos recebem SHA-256.</w:t>
      </w:r>
    </w:p>
    <w:p>
      <w:pPr>
        <w:pStyle w:val="Heading2"/>
      </w:pPr>
      <w:r>
        <w:t>3.4 A POLÍTICA VIGENTE: TRÊS PERFIS DECLARADOS</w:t>
      </w:r>
    </w:p>
    <w:p>
      <w:pPr>
        <w:pStyle w:val="Normal"/>
      </w:pPr>
      <w:r>
        <w:t>Desde 25 de agosto de 2026 o sistema opera sob uma política declarada, registrada como benevente_profile_ladder_v2 e denominada Benevente 3. Em lugar de buscar a melhor configuração a cada ano, a política fixa três configurações, uma por perfil de investidor, congeladas antes do período de avaliação prospectiva. O perfil conservador aloca 35% do patrimônio em renda variável, distribuída entre doze emissores; o equilibrado, 55% entre oito; o arrojado, 75% entre cinco. Em todos os perfis, um quinto do orçamento de renda variável é mantido em um fundo negociado na B3 que replica o S&amp;P 500 em reais (IVVB11), definido pela política e não pelo escore; o saldo permanece no CDI. A camada de proteção intranual atua somente sobre a parcela doméstica, porque o sinal de estresse é calculado sobre o Ibovespa. O registro contém os hashes dos insumos, o assinante responsável, o critério de falseamento e o início da amostra confirmatória, o primeiro pregão de 2027; nenhum parâmetro pode ser alterado depois do congelamento sem constituir nova versão e nova contagem. A Seção 4.1.1 documenta o experimento que motivou a declaração; a Seção 5.1 apresenta o diagnóstico dos três perfis.</w:t>
      </w:r>
    </w:p>
    <w:p>
      <w:pPr>
        <w:pStyle w:val="Heading2"/>
      </w:pPr>
      <w:r>
        <w:t>3.5 POR QUE A DECISÃO É ANUAL</w:t>
      </w:r>
    </w:p>
    <w:p>
      <w:pPr>
        <w:pStyle w:val="Normal"/>
      </w:pPr>
      <w:r>
        <w:t>A cadência anual é coerente com o sinal e foi testada: fundamentos são divulgados em ciclos contábeis e a tese precisa de tempo para aparecer no preço; troca mensal vende a empresa antes do reconhecimento e multiplica decisões a justificar. A revisão em janeiro cria uma fronteira simples — o publicado até a data entra, o resto pertence ao próximo ciclo.</w:t>
      </w:r>
    </w:p>
    <w:p>
      <w:pPr>
        <w:pStyle w:val="Normal"/>
      </w:pPr>
      <w:r>
        <w:t>Cadência anual não significa ignorar o risco por doze meses: preço, concentração, liquidez e eventos seguem monitorados, e uma política institucional pode prever gatilhos extraordinários. Significa que a reseleção sistemática ocorre uma vez ao ano. Mantidas regra e dados, a cadência anual superou a trimestral e a mensal antes dos custos; onze anos pareados não provam otimalidade, apenas ausência de evidência para trocar a regra mais simples. Notícias não entram no retorno histórico: um radar de acompanhamento lê fontes públicas e classifica alertas para revisão humana, sem alterar ativos ou pesos, porque avaliá-las exigiria um braço prospectivo com horário de publicação e decisões arquivadas antes do desfecho.</w:t>
      </w:r>
    </w:p>
    <w:p>
      <w:pPr>
        <w:pStyle w:val="Heading2"/>
      </w:pPr>
      <w:r>
        <w:t>3.6 CUSTOS, IMPOSTO E EXECUÇÃO</w:t>
      </w:r>
    </w:p>
    <w:p>
      <w:pPr>
        <w:pStyle w:val="Normal"/>
      </w:pPr>
      <w:r>
        <w:t>O sistema modela três parcelas de custo, deduzidas do retorno bruto.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em relação ao volume médio diário do papel, de modo que uma ordem grande em papel ilíquido recebe custo maior.</w:t>
      </w:r>
    </w:p>
    <w:p>
      <w:pPr>
        <w:pStyle w:val="Normal"/>
        <w:ind w:firstLine="0"/>
        <w:numPr>
          <w:ilvl w:val="0"/>
          <w:numId w:val="1"/>
        </w:numPr>
      </w:pPr>
      <w:r>
        <w:t>Imposto de renda brasileiro, com 15% sobre ganho realizado em renda variável e 17,5% sobre renda fixa na faixa de 361 a 720 dias, cobrado no ano em que a revisão seguinte efetivamente realiza o ganho, e com liquidação integral assumida no último ano avaliado. Essa é a hipótese terminal conservadora, em vez de um diferimento indefinido que embelezaria a série.</w:t>
      </w:r>
    </w:p>
    <w:p>
      <w:pPr>
        <w:pStyle w:val="Normal"/>
      </w:pPr>
      <w:r>
        <w:t>O sistema recusa, por regra, ordens que ultrapassem 5% do volume médio diário do papel; a ordem não é enviada.</w:t>
      </w:r>
    </w:p>
    <w:p>
      <w:pPr>
        <w:pStyle w:val="Heading2"/>
      </w:pPr>
      <w:r>
        <w:t>3.7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obrigatória: nenhuma ordem é transmitida, porque a arquitetura não possui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linguagem: o modelo organiza tese e riscos a partir de fatos já aprovados, sem definir peso, alterar limite ou aprovar ativo. Trata-se de restrição de arquitetura verificável, e a Seção 5.6 apresenta o experimento que testou o relaxamento dessa restrição.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pós-operação: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versionados: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Normal"/>
      </w:pPr>
      <w:r>
        <w:t>4.1.1 O experimento que motivou a política declarada</w:t>
      </w:r>
    </w:p>
    <w:p>
      <w:pPr>
        <w:pStyle w:val="Normal"/>
      </w:pPr>
      <w:r>
        <w:t>Em 25 de agosto de 2026, a defesa da Seção 4.1 foi submetida a um teste direto. Com insumos, código e janela idênticos, condição verificada pela reprodução das 36 configurações compartilhadas com diferença máxima de 5,6×10⁻¹⁷, a mesma seleção aninhada aplicada a uma grade de 256 candidatos rendeu 12,68% ao ano, contra 15,31% da grade de 36, uma perda de 2,63 pontos percentuais ao ano. O índice de Sharpe deflacionado caiu de 0,957 para 0,777, abaixo do limiar de significância, porque o máximo esperado sob a hipótese nula subiu de 0,375 para 0,746 com o aumento do número de tentativas. Em 2018, o seletor ampliado dedicou o ano inteiro a uma configuração que rendeu −7,2% em um ano em que o CDI rendeu 6,4%. O resultado indica que a seleção aninhada possui um limite de capacidade: dez observações anuais não são suficientes para ordenar 256 candidatos, e ultrapassar esse limite degrada a proteção que o procedimento oferece sem produzir sinal visível de alerta.</w:t>
      </w:r>
    </w:p>
    <w:p>
      <w:pPr>
        <w:pStyle w:val="Normal"/>
      </w:pPr>
      <w:r>
        <w:t>A consequência de projeto foi a política declarada da Seção 3.4, congelada no registro benevente_profile_ladder_v2 (SHA-256 iniciado em fc5521f1), com assinante identificado, critério de falseamento e amostra confirmatória a partir de 2027. O experimento completo, com os controles e os resultados negativos auxiliares, está documentado em manuscrito próprio (declared_over_searched_2026), e cada número publicado é conferido por rotina automática contra os artefatos versionados. A mesma auditoria corrigiu a referência do Ibovespa, que passou a ser lida da série datada de origem, com retorno de 11,74% ao ano e queda máxima de 46,8%, depois de constatada deriva na curva rebaseada produzida pelo motor de cálculo.</w:t>
      </w:r>
    </w:p>
    <w:p>
      <w:pPr>
        <w:pStyle w:val="Heading2"/>
      </w:pPr>
      <w:r>
        <w:t>4.2 COMPARADORES</w:t>
      </w:r>
    </w:p>
    <w:p>
      <w:pPr>
        <w:pStyle w:val="Normal"/>
      </w:pPr>
      <w:r>
        <w:t>Três referências foram calculadas de forma independente.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2026c).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O último comparador merece nota: em uma versão anterior, a série rotulada como MVO era numericamente idêntica à estratégia, ou seja, a estratégia estava sendo comparada a si mesma. O defeito foi encontrado na auditoria interna e corrigido com uma implementação independente, que passou a produzir resultados distintos, inclusive desfavoráveis à estratégia em um dos onze anos.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retrospectiva: a diferença entre o retorno anualizado da configuração que teria vencido a amostra inteira, escolha impossível na prática, e o da escolha aninhada. Esse número quantifica o que se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séries; em 139 delas a distribuição de proventos precisou ser imputada por falta de cobertura do provedor. Como uma série problemática pode nunca entrar na carteira, a auditoria cruzou, por ano, a política escolhida, os pesos e o tipo de reconstrução de cada série, e mede a parcela da exposição acumulada a ações que dependeu de provento imputado. Dois testes de sensibilidade complementam a inspeção: a reamostragem conjunta dos vetores anuais de estratégia e comparadores, com 100 mil amostras e semente registrada, que mede estabilidade interna sem criar crises novas; e perdas hipotéticas de 10, 25, 50 e 100 pontos percentuais aplicadas somente à parcela investida em séries imputadas, que mostram quanto o resultado depende dessa hipótese.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Três registros delimitam a linhagem do sistema. O módulo de seleção anual (Benevente 1) foi registrado em 16 de agosto de 2026, com hash e data no repositório; a camada de proteção (Benevente 2) e o protocolo de acompanhamento receberam registros próprios depois das respectivas mudanças; a política por perfil (Benevente 3) foi registrada em 25 de agosto de 2026 e é a única que governa decisões futuras. Extensões não herdam a data dos registros anteriores. Para sustentar uma conclusão prospectiva, cada perfil precisa superar CDI e Ibovespa após custos e tributos aplicáveis, respeitar o critério de falseamento do próprio registro e acumular pelo menos três decisões anuais completas posteriores ao congelamento; a amostra confirmatória começa no primeiro pregão de 2027. Não existe resultado prospectivo na data deste artigo: a carteira formada em janeiro de 2026 antecede os registros e é tratada como carteira-sombra. Uma regra não pode ser alterada depois de observado um resultado desfavorável sem que a mudança constitua nova versão e nova contagem.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Cada decisão anual foi emitida com fontes, hashes, elegibilidade, ranking, pesos, custos, comparadores e justificativa. Os testes de integridade recusaram arquivo alterado, peso que não soma 100%, ordem acima do limite de liquidez e fundamento recebido após a data da decisão. A auditoria adversarial, descrita na Seção 5.7, encontrou sete defeitos no próprio processo, e as correções alteraram as métricas publicadas.</w:t>
      </w:r>
    </w:p>
    <w:p>
      <w:pPr>
        <w:pStyle w:val="Normal"/>
      </w:pPr>
      <w:r>
        <w:t>A Tabela 2 apresenta o diagnóstico retrospectivo da política vigente: os três perfis do Benevente 3, recalculados sobre 2015–2025 com custos modelados e com a camada de proteção aplicada à parcela doméstica. Os valores descrevem o comportamento da política na amostra de desenvolvimento e não constituem validação prospectiva.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dos três perfis declarados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072"/>
        <w:gridCol w:w="1364"/>
        <w:gridCol w:w="900"/>
        <w:gridCol w:w="1754"/>
        <w:gridCol w:w="1169"/>
        <w:gridCol w:w="1169"/>
        <w:gridCol w:w="1632"/>
      </w:tblGrid>
      <w:tr>
        <w:trPr>
          <w:cantSplit/>
          <w:tblHeader w:val="true"/>
        </w:trPr>
        <w:tc>
          <w:tcPr>
            <w:tcW w:type="dxa" w:w="10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Perfil</w:t>
            </w:r>
          </w:p>
        </w:tc>
        <w:tc>
          <w:tcPr>
            <w:tcW w:type="dxa" w:w="136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Renda variável</w:t>
            </w:r>
          </w:p>
        </w:tc>
        <w:tc>
          <w:tcPr>
            <w:tcW w:type="dxa" w:w="90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Emissores</w:t>
            </w:r>
          </w:p>
        </w:tc>
        <w:tc>
          <w:tcPr>
            <w:tcW w:type="dxa" w:w="175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Volatilidade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</w:t>
            </w:r>
          </w:p>
        </w:tc>
        <w:tc>
          <w:tcPr>
            <w:tcW w:type="dxa" w:w="163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acima do CDI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Conservador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35%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5,84%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−9,16%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Equilibrado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−17,86%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Arrojado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19,87%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16,94%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−28,94%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23,37%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−46,82%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36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0,25%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3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perfis preservam a ordenação declarada de risco: retorno e queda máxima crescem juntos do conservador ao arrojado, e nenhum perfil se aproximou da queda máxima do Ibovespa.</w:t>
      </w:r>
    </w:p>
    <w:p>
      <w:pPr>
        <w:pStyle w:val="Normal"/>
      </w:pPr>
      <w:r>
        <w:t>As análises das Seções 5.2 a 5.4 — dependência de imputação, reamostragem pareada e correção por múltiplas tentativas — foram conduzidas sobre a série de desenvolvimento do módulo de seleção, que acumula o histórico de auditoria mais longo do projeto. A Tabela 3 apresenta essa série e seus comparadores, líquidos de custos estimados.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Diagnóstico retrospectivo da série de desenvolvimento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826"/>
        <w:gridCol w:w="1496"/>
        <w:gridCol w:w="2078"/>
        <w:gridCol w:w="1081"/>
        <w:gridCol w:w="1579"/>
      </w:tblGrid>
      <w:tr>
        <w:trPr>
          <w:cantSplit/>
          <w:tblHeader w:val="true"/>
        </w:trPr>
        <w:tc>
          <w:tcPr>
            <w:tcW w:type="dxa" w:w="282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4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07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08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5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antes do IR incremental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18,45%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R$ 643.774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após estimativa do IR incremental¹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18,29%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R$ 634.531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1), após modelo anual de IR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4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07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08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5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¹ Estimativa agregada para R$ 100 mil, com alíquota de 15%, isenção mensal quando as vendas não superam R$ 20 mil e compensação de perdas. Ela mede apenas o imposto adicional causado pelas reduções intranuais do Benevente 2; não substitui a apuração por lote nem a conciliação de notas de corretagem.</w:t>
      </w:r>
    </w:p>
    <w:p>
      <w:pPr>
        <w:pStyle w:val="Normal"/>
      </w:pPr>
      <w:r>
        <w:t>A coluna em reais traduz a taxa anualizada em escala econômica. Sob as hipóteses do diagnóstico, R$ 100 mil teriam terminado em R$ 609.832 na série do módulo de seleção, R$ 643.774 com a camada de proteção antes do imposto incremental, R$ 340.068 no Ibovespa e R$ 274.368 no CDI. Esses valores dependem da qualidade da série reconstruída e devem ser lidos junto com a Seção 5.2.</w:t>
      </w:r>
    </w:p>
    <w:p>
      <w:pPr>
        <w:pStyle w:val="Normal"/>
      </w:pPr>
      <w:r>
        <w:t>Em janelas móveis, contra o CDI a série vence 8 de 9 janelas de três anos, 6 de 7 de cinco anos e 2 de 2 de dez anos; contra a otimização de referência, vence todas. Essas contagens não são observações independentes, porque as janelas se sobrepõem: descrevem a amostra sem aumentar seu tamanho.</w:t>
      </w:r>
    </w:p>
    <w:p>
      <w:pPr>
        <w:pStyle w:val="Normal"/>
      </w:pPr>
      <w:r>
        <w:t>O retorno da série de desenvolvimento veio acompanhado de risco elevado. A queda máxima diária chegou a 47,8%, próxima à do Ibovespa, de 47,0%, porque entre 2018 e 2021 a política então selecionada manteve 95% em ações concentradas em cinco ou seis emissores. A camada de proteção preservou os mesmos ativos e reduziu a exposição somente depois de estresse observado, levando a queda máxima retrospectiva a 28,7%; a maior perda ocorreu na crise da Covid-19. Esse episódio ilustra por que a política vigente limita o orçamento de renda variável por perfil em vez de operar com um único orçamento elevado: a amostra não permite afirmar proteção futura, mas a ordenação de risco da Tabela 2 é uma propriedade de construção, não de ajuste.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Aplicar uma perda adicional de 10 pontos percentuais apenas à parcela imputada reduz o retorno anualizado de 17,86% para 16,78%; com 25 pontos, para 15,11%; com 50, para 12,16%; com 100, para 5,41%. A carteira deixa de superar o Ibovespa quando a penalização chega a cerca de 53 pontos percentuais, e o CDI, perto de 70. O teste mostra margem econômica, mas não repara o dado: como metade da carteira de 2020 dependeu de séries imputadas, o retorno histórico permanece diagnóstico até a reconciliação em fonte primária.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cruzou zero contra CDI e Ibovespa; somente a comparação com a implementação de MVO permaneceu positiva em todo o intervalo. A ordenação observada não dependeu de um único ano sorteado repetidamente, o que não equivale a superioridade na população.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importante: reamostrar onze anos não cria regimes que não estejam na série nem transforma desenvolvimento em validação externa. A informação obtida é a estabilidade interna suficiente para continuar o teste prospectivo, não a comprovação de superioridade.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indica que escolher a política vencedora conhecendo toda a amostra teria rendido 0,65 ponto percentual a mais por ano do que a escolha sequencial; em uma versão anterior, com um ano a menos de histórico inicial, esse prêmio era de 4,98 pontos. O Sharpe deflacionado corrige múltiplas tentativas, mas não resolve a dependência de dados nem a ausência de teste prospectivo: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Oito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Ampliar a busca de configurações. Conforme a Seção 4.1.1, a passagem de 36 para 256 candidatos custou 2,63 pontos percentuais ao ano e a significância estatística do resultado. Foi a rejeição que reorganizou o protocolo.</w:t>
      </w:r>
    </w:p>
    <w:p>
      <w:pPr>
        <w:pStyle w:val="Normal"/>
      </w:pPr>
      <w:r>
        <w:t>Pesar pelo inverso da volatilidade. Contra o peso publicado, proporcional ao escore, o esquema perdeu em oito das oito configurações medidas, reduzindo a queda máxima em 0,95 ponto ao custo de 2,11 pontos de retorno ao ano, e piorou o pior ano justamente nas cestas largas em que deveria ajudar.</w:t>
      </w:r>
    </w:p>
    <w:p>
      <w:pPr>
        <w:pStyle w:val="Normal"/>
      </w:pPr>
      <w:r>
        <w:t>Meta de volatilidade em janeiro. O mecanismo cortou exposição em cinco de treze anos, sempre depois de um estresse visível e nunca antes de um. Em 2020, janeiro estava calmo, o ano operou com exposição integral e a queda máxima não se alterou; em 2016, a exposição foi reduzida a 8,8% de ações em um ano em que a estratégia rendeu 35%.</w:t>
      </w:r>
    </w:p>
    <w:p>
      <w:pPr>
        <w:pStyle w:val="Normal"/>
      </w:pPr>
      <w:r>
        <w:t>Previsão anual de regime. Cinco indicadores disponíveis em janeiro (prêmio de lucro sobre o CDI, nível do CDI, retorno e volatilidade de doze meses e distância do topo) tentaram antecipar se o ano favoreceria ações ou caixa. O melhor deles acertou três de quatro chamadas (p = 0,31), resultado indistinguível do acaso; o prêmio potencial de 6,5 pontos percentuais ao ano não foi capturado por nenhum indicador.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estático, e a regra de média-variância foi significativamente pior. O prêmio por acertar o momento existe, mas nenhum sinal testado o capturou.</w:t>
      </w:r>
    </w:p>
    <w:p>
      <w:pPr>
        <w:pStyle w:val="Normal"/>
      </w:pPr>
      <w:r>
        <w:t>Reseleção mais frequente da cesta. Questão distinta da anterior: não a proporção entre ações e caixa, mas se a própria cesta deveria ser retriada mais vezes por ano. Três cadências foram comparadas com a mesma regra, os mesmos limites e o mesmo painel; apenas as datas de decisão variam.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anual: pareada por ano-calendário e após imposto, a trimestral ficou 1,55 ponto percentual abaixo (p = 0,376) e a mensal, 3,27 (p = 0,306). A leitura correta é ausência de evidência a favor, e não prova de prejuízo. A diferença nasce antes dos custos, pois o retorno bruto cai 4,66 pontos da cadência anual para a mensal, o que indica que o sinal amadurece lentamente. O modelo tributário chega a favorecer o braço mensal, que ainda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Covid-19. A camada de proteção reduz a exposição após estresse de queda e volatilidade do Ibovespa. No histórico da série de desenvolvimento, a queda máxima recuou de 47,8% para 28,7%. A configuração escolhida somente com 2015–2018 também elevou o retorno anualizado de 17,86% para 18,45%, mas a diferença anual de retorno em 2019–2025 não foi detectável (p = 0,964). Para R$ 100 mil, a estimativa agregada do imposto incremental das reduções foi de R$ 2.195, levando o valor terminal estimado de R$ 643.774 para R$ 634.531, antes da tributação já pertencente à revisão anual. A camada integra a política declarada da Seção 3.4; sua evidência histórica permanece retrospectiva.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produto restringe o modelo de linguagem à explicação. Um experimento retrospectivo separado permitiu que ele produzisse escore ou pesos apenas para medir o custo dessa restrição. Como o treinamento do modelo pode conter notícias e desfechos posteriores, os quatro braços são diagnóstico de sensibilidade, não validação temporal da LLM.</w:t>
      </w:r>
    </w:p>
    <w:p>
      <w:pPr>
        <w:pStyle w:val="Normal"/>
      </w:pPr>
      <w:r>
        <w:t>Uma extensão prospectiva de avaliação da camada de linguagem medirá fidelidade, completude, cobertura de riscos e números inventados. Ela não seleciona ativos nem herda resultados de nenhuma versão anterior.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com as empresas identificadas por números, de modo que o modelo vê fundamentos e não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nem restrições.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não permitem rejeitar a hipótese de ausência de diferença, e cada um responde a uma pergunta distinta.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identidade, o que não prova ausência de contaminação: o modelo pode inferir a empresa pelos fundamentos ou reconhecer padrões aprendidos depois do período.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retorno: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cinco dos treze anos e omitiu dezenas de ativos elegíveis sem sinalizar.</w:t>
      </w:r>
    </w:p>
    <w:p>
      <w:pPr>
        <w:pStyle w:val="Normal"/>
      </w:pPr>
      <w:r>
        <w:t>A conclusão de produto: o modelo organiza e explica decisões, mas não as gera. Qualquer uso futuro em sinal, ranking ou peso terá de começar depois do registro específico da versão avaliada e ser comparado prospectivamente ao controle determinístico.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A auditoria interna adversarial encontrou e corrigiu sete defeitos, todos na direção de inflar o resultado.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A mudança evidencia o funcionamento do controle, que foi capaz de piorar o resultado quando os dados o exigiram, mas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escritórios de investimento, consultorias de valores mobiliários, gestores patrimoniais e escritórios multifamiliares. A política aplicada, os dados e seus hashes, a elegibilidade, os pesos, as ordens, o custo estimado e a aprovação permanecem ligados à mesma decisão, o que reduz o tempo de reconstrução de uma recomendação e permite responder tanto por que um papel entrou quanto por que outro ficou de fora. O benefício comercial não deve ser apresentado como promessa de superar o mercado: o valor a testar está na consistência do processo, na comparação explícita com alternativas e na capacidade de revisão.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pelo perfil declarado adequado ao cliente. O usuário vê quais arquivos e demonstrações estavam disponíveis e quais passaram na validação; a triagem mostra aprovados e reprovados com o respectivo motivo; a carteira candidata apresenta pesos, parcela defensiva, custo e comparação com CDI, Ibovespa e MVO. O profissional revisa a tese, registra riscos, aprova ou rejeita a proposta e informa a justificativa, e o dossiê final reúne esse percurso com a versão da regra.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A implantação começa pela definição de fontes, políticas, acessos e aprovadores. No piloto, o sistema acompanha poucas carteiras sem enviar ordens e os dossiês são confrontados com o processo vigente; na operação assistida, a conciliação de custos e posições fecha o ciclo entre proposta e execução. O piloto medirá tempo, completude da evidência, revisões, diferença entre custo estimado e executado e disposição a pagar. Um teste no Espírito Santo atende ao recorte do congresso, mas não permite presumir retenção de capital ou negócios no estado. O produto permanece em estágio de protótipo reprodutível: a janela de 2015 a 2025 descreve a amostra, e a avaliação prospectiva começa nos registros congelados, cujos hashes foram versionados e receberam data carimbada por terceiro.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10 delimita o que pode ser afirmado na submissão.</w:t>
      </w:r>
    </w:p>
    <w:p>
      <w:pPr>
        <w:keepNext/>
        <w:spacing w:after="0"/>
      </w:pPr>
      <w:r>
        <w:rPr>
          <w:b/>
        </w:rPr>
        <w:t>Tabela 10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Registros congelados de 2026; amostra confirmatória a partir de 2027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matriz converge com a literatura: ausência de alfa do modelo (Perlin et al., 2025; Li et al., 2026), valor narrativo sem autorização de pesos (Kim et al., 2024) e exigência prospectiva (Pelster &amp; Val, 2024).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temporal: onze decisões anuais são poucas, e a janela também serviu ao desenvolvimento. O prêmio de retrospectiva e o Sharpe deflacionado tratam parte do risco de múltiplas tentativas, mas não equivalem a validação prospectiva.</w:t>
      </w:r>
    </w:p>
    <w:p>
      <w:pPr>
        <w:pStyle w:val="Normal"/>
      </w:pPr>
      <w:r>
        <w:t>A segunda limitação está nos dados. A página atual da B3 respondeu para 95,6% das séries consultadas, percentual que mede resposta do serviço, não completude histórica; a reconstrução das posições mantidas encontrou sete diferenças materiais em 54 comparações e duas observações sem resposta. Papéis sem cobertura completa recebem, em casos identificados, distribuição imputada pela mediana transversal do ano, fragilidade que atingiu 13,9% da exposição acumulada a ações e 50% da carteira de 2020. O arquivo novo melhora a auditabilidade porque permite reprovar a própria reconciliação; não transforma a curva em evidência institucional.</w:t>
      </w:r>
    </w:p>
    <w:p>
      <w:pPr>
        <w:pStyle w:val="Normal"/>
      </w:pPr>
      <w:r>
        <w:t>A terceira é econômica. Na série de desenvolvimento, a queda máxima diária chegou a 47,8%, ligeiramente pior que os 47,0% do Ibovespa; a camada de proteção reduziu essa marca retrospectiva para 28,7%, mas foi concebida depois da Covid-19, não possui imposto intranual conciliado por lote e ainda não demonstrou benefício prospectivo. A política vigente limita a exposição por perfil, com quedas máximas retrospectivas entre 9,2% e 28,9%, mas seus parâmetros também foram definidos com conhecimento da amostra e só a janela confirmatória poderá qualificá-los.</w:t>
      </w:r>
    </w:p>
    <w:p>
      <w:pPr>
        <w:pStyle w:val="Normal"/>
      </w:pPr>
      <w:r>
        <w:t>Por fim, o produto não elimina responsabilidade profissional: uso comercial exige enquadramento regulatório, suitability, segurança, contrato de fontes e aprovação humana. O modelo de linguagem não seleciona ativos nem define pesos, e o radar de notícias serve apenas ao alerta humano, sem participar do retorno histórico.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posteriores aos registros congelados. Em paralelo, uma versão institucional precisará de um livro histórico de eventos capaz de cobrir os 22 códigos não devolvidos e de reproduzir as sete diferenças materiais encontradas no escopo da estratégia. Testes seguintes devem acrescentar trajetórias sintéticas com regimes de baixa prolongada, sem substituir a observação futura; um estudo com notícias deve ser registrado como braço separado, com horário verificável. O passo de produto é um piloto silencioso, sem execução automática, que meça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2015–2025, os três perfis da política vigente superaram o CDI em oito de onze anos cada um, com quedas máximas escalonadas conforme o perfil; a incerteza amostral e a imputação parcial impedem tratar esses números como superioridade comprovada. Os resultados negativos são parte da contribuição: reselecionar com mais frequência não ajudou, o modelo de linguagem não acrescentou retorno, a alocação direta por texto produziu vetores aritmeticamente inconsistentes em parte dos anos e a própria busca de configurações se degradou ao ser ampliada, o que motivou a substituição da busca pela declaração. O conjunto justifica um sistema em que a regra calcula, a linguagem explica e uma pessoa responde.</w:t>
      </w:r>
    </w:p>
    <w:p>
      <w:pPr>
        <w:pStyle w:val="Normal"/>
      </w:pPr>
      <w:r>
        <w:t>A conclusão sustentada pela evidência é estreita. O artefato cria uma cadeia auditável e a utiliza para encontrar erros que alteram o próprio resultado, inclusive recusando um selo de reconciliação que os dados não sustentavam, e para medir o limite do próprio procedimento de seleção, declarando a política quando esse limite foi atingido. A viabilidade comercial depende de um piloto que meça ganho de tempo, completude documental, compreensão e disposição a pagar. A validade financeira exigirá uma base histórica reconciliável e observações posteriores aos registros congelados; a amostra confirmatória da política vigente começa no primeiro pregão de 2027. Até lá, o desempenho histórico permanece diagnóstico de desenvolvimento.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O código, os testes, os manifestos e os arquivos de evidência estão em https://github.com/diegogallina1/benevente. A demonstração está em https://benevente-wealth-system.vercel.app/. O repositório documenta fontes, limitações e comandos de reprodução.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Dividendos e outros eventos corporativos</w:t>
      </w:r>
      <w:r>
        <w:t>. https://sistemaswebb3-listados.b3.com.br/dividensOtherCorpActPage/</w:t>
      </w:r>
    </w:p>
    <w:p>
      <w:pPr>
        <w:pStyle w:val="Normal"/>
        <w:ind w:left="425" w:hanging="425"/>
        <w:jc w:val="left"/>
      </w:pPr>
      <w:r>
        <w:t xml:space="preserve">B3 S.A. – Brasil, Bolsa, Balcão. (2026c).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Benevente. (2026). </w:t>
      </w:r>
      <w:r>
        <w:rPr>
          <w:i/>
        </w:rPr>
        <w:t>Documentação técnica, repositório de dados e validação de horizontes</w:t>
      </w:r>
      <w:r>
        <w:t>. https://github.com/diegogallina1/benevente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Kim, A. G. H., Muhn, M., &amp; Nikolaev, V. V. (2024). </w:t>
      </w:r>
      <w:r>
        <w:rPr>
          <w:i/>
        </w:rPr>
        <w:t>Financial statement analysis with large language models</w:t>
      </w:r>
      <w:r>
        <w:t xml:space="preserve"> [Working paper]. arXiv. https://arxiv.org/abs/2407.17866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Li, Y., Kim, K., Cucuringu, M., &amp; Ma, S. (2026). Can LLM-based financial investing strategies outperform the market in long run? In </w:t>
      </w:r>
      <w:r>
        <w:rPr>
          <w:i/>
        </w:rPr>
        <w:t>Proceedings of the 32nd ACM SIGKDD Conference on Knowledge Discovery and Data Mining</w:t>
      </w:r>
      <w:r>
        <w:t xml:space="preserve"> (pp. 2711–2722). https://doi.org/10.1145/3770854.3785702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p>
      <w:pPr>
        <w:pStyle w:val="Normal"/>
        <w:ind w:left="425" w:hanging="425"/>
        <w:jc w:val="left"/>
      </w:pPr>
      <w:r>
        <w:t xml:space="preserve">Pelster, M., &amp; Val, J. (2024). Can ChatGPT assist in picking stocks? </w:t>
      </w:r>
      <w:r>
        <w:rPr>
          <w:i/>
        </w:rPr>
        <w:t>Finance Research Letters, 59</w:t>
      </w:r>
      <w:r>
        <w:t>, 104786. https://doi.org/10.1016/j.frl.2023.104786</w:t>
      </w:r>
    </w:p>
    <w:p>
      <w:pPr>
        <w:pStyle w:val="Normal"/>
        <w:ind w:left="425" w:hanging="425"/>
        <w:jc w:val="left"/>
      </w:pPr>
      <w:r>
        <w:t xml:space="preserve">Perlin, M. S., Foguesatto, C. R., Müller, F. M., &amp; Righi, M. B. (2025). Can AI beat a naive portfolio? An experiment with anonymized data. </w:t>
      </w:r>
      <w:r>
        <w:rPr>
          <w:i/>
        </w:rPr>
        <w:t>Finance Research Letters</w:t>
      </w:r>
      <w:r>
        <w:t>, 107126. https://doi.org/10.1016/j.frl.2025.107126</w:t>
      </w:r>
    </w:p>
    <w:p>
      <w:pPr>
        <w:pStyle w:val="Normal"/>
        <w:ind w:left="425" w:hanging="425"/>
        <w:jc w:val="left"/>
      </w:pPr>
      <w:r>
        <w:t xml:space="preserve">Yu, Y., Yao, H., Jiang, H., Lu, Y., Cao, Y., Yan, D., &amp; Zhuang, F. (2024). FinCon: A synthesized LLM multi-agent system with conceptual verbal reinforcement for enhanced financial decision making. In </w:t>
      </w:r>
      <w:r>
        <w:rPr>
          <w:i/>
        </w:rPr>
        <w:t>Advances in Neural Information Processing Systems 37</w:t>
      </w:r>
      <w:r>
        <w:t>. https://doi.org/10.52202/079017-4354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8"/>
        <w:tab w:val="left" w:pos="5685" w:leader="none"/>
        <w:tab w:val="right" w:pos="9070" w:leader="none"/>
      </w:tabs>
      <w:rPr/>
    </w:pPr>
    <w:r>
      <w:drawing>
        <wp:anchor behindDoc="1" distT="0" distB="0" distL="114935" distR="114935" simplePos="0" locked="0" layoutInCell="1" allowOverlap="1" relativeHeight="7">
          <wp:simplePos x="0" y="0"/>
          <wp:positionH relativeFrom="column">
            <wp:posOffset>2168525</wp:posOffset>
          </wp:positionH>
          <wp:positionV relativeFrom="paragraph">
            <wp:posOffset>-638175</wp:posOffset>
          </wp:positionV>
          <wp:extent cx="1558925" cy="1131570"/>
          <wp:effectExtent l="0" t="0" r="0" b="0"/>
          <wp:wrapNone/>
          <wp:docPr id="2" name="Image1" descr="Logotipo da Fucape Business School" title="Logotipo da Fucape Business 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1175" t="-33" r="48994" b="-33"/>
                  <a:stretch>
                    <a:fillRect/>
                  </a:stretch>
                </pic:blipFill>
                <pic:spPr bwMode="auto">
                  <a:xfrm>
                    <a:off x="0" y="0"/>
                    <a:ext cx="1558925" cy="1131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Arial" w:ascii="Arial" w:hAnsi="Arial"/>
        <w:b/>
        <w:sz w:val="16"/>
      </w:rPr>
      <w:tab/>
      <w:tab/>
      <w:tab/>
      <w:tab/>
    </w:r>
    <w:r>
      <w:rPr>
        <w:rFonts w:cs="Arial" w:ascii="Arial" w:hAnsi="Arial"/>
        <w:b/>
        <w:sz w:val="16"/>
      </w:rPr>
      <w:fldChar w:fldCharType="begin"/>
    </w:r>
    <w:r>
      <w:rPr>
        <w:sz w:val="16"/>
        <w:b/>
        <w:rFonts w:cs="Arial" w:ascii="Arial" w:hAnsi="Arial"/>
      </w:rPr>
      <w:instrText xml:space="preserve"> PAGE </w:instrText>
    </w:r>
    <w:r>
      <w:rPr>
        <w:sz w:val="16"/>
        <w:b/>
        <w:rFonts w:cs="Arial" w:ascii="Arial" w:hAnsi="Arial"/>
      </w:rPr>
      <w:fldChar w:fldCharType="separate"/>
    </w:r>
    <w:r>
      <w:rPr>
        <w:sz w:val="16"/>
        <w:b/>
        <w:rFonts w:cs="Arial" w:ascii="Arial" w:hAnsi="Arial"/>
      </w:rPr>
      <w:t>3</w:t>
    </w:r>
    <w:r>
      <w:rPr>
        <w:sz w:val="16"/>
        <w:b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1560" w:end="0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align>center</wp:align>
          </wp:positionH>
          <wp:positionV relativeFrom="paragraph">
            <wp:posOffset>635</wp:posOffset>
          </wp:positionV>
          <wp:extent cx="7750810" cy="923925"/>
          <wp:effectExtent l="0" t="0" r="0" b="0"/>
          <wp:wrapNone/>
          <wp:docPr id="1" name="Imagem 2" descr="Identidade visual do Business Tech Congress 2026" title="Identidade visual do Business Tech Congress 20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0" r="-5" b="-40"/>
                  <a:stretch>
                    <a:fillRect/>
                  </a:stretch>
                </pic:blipFill>
                <pic:spPr bwMode="auto">
                  <a:xfrm>
                    <a:off x="0" y="0"/>
                    <a:ext cx="7750810" cy="923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>Diego Gallina</dc:creator>
  <dc:description/>
  <ns0:keywords>B-Tech Congress</ns0:keywords>
  <dc:language>pt-BR</dc:language>
  <ns0:lastModifiedBy>Diego Gallina</ns0:lastModifiedBy>
  <ns0:lastPrinted>2023-10-30T16:07:00Z</ns0:lastPrinted>
  <ns1:modified xsi:type="dcterms:W3CDTF">2026-07-17T19:38:00Z</ns1:modified>
  <ns0:revision>4</ns0:revision>
  <dc:subject>Manuscrito tecnológico BTech 2026</dc:subject>
  <dc:title>Benevente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