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qtz88m7ya5y" w:id="0"/>
      <w:bookmarkEnd w:id="0"/>
      <w:r w:rsidDel="00000000" w:rsidR="00000000" w:rsidRPr="00000000">
        <w:rPr>
          <w:b w:val="1"/>
          <w:bCs w:val="1"/>
          <w:sz w:val="46"/>
          <w:szCs w:val="46"/>
          <w:rtl w:val="0"/>
        </w:rPr>
        <w:t xml:space="preserve">Guía Integral de Cumplimiento para Fideicomisos y Actuación Notarial en Argentina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ngt5y8biabb" w:id="1"/>
      <w:bookmarkEnd w:id="1"/>
      <w:r w:rsidDel="00000000" w:rsidR="00000000" w:rsidRPr="00000000">
        <w:rPr>
          <w:b w:val="1"/>
          <w:bCs w:val="1"/>
          <w:sz w:val="34"/>
          <w:szCs w:val="34"/>
          <w:rtl w:val="0"/>
        </w:rPr>
        <w:t xml:space="preserve">1.0 Introducción al Marco Regulatorio del Fideicomiso y la Actuación Notarial</w:t>
      </w:r>
    </w:p>
    <w:p w:rsidR="00000000" w:rsidDel="00000000" w:rsidP="00000000" w:rsidRDefault="00000000" w:rsidRPr="00000000" w14:paraId="00000003">
      <w:pPr>
        <w:spacing w:after="240" w:before="240" w:lineRule="auto"/>
        <w:rPr/>
      </w:pPr>
      <w:r w:rsidDel="00000000" w:rsidR="00000000" w:rsidRPr="00000000">
        <w:rPr>
          <w:rtl w:val="0"/>
        </w:rPr>
        <w:t xml:space="preserve">Esta guía es una herramienta de entrenamiento indispensable, diseñada para orientar a los agentes sobre las complejas obligaciones regulatorias, fiscales y de reporte que impactan tanto la constitución de fideicomisos como la práctica notarial en la República Argentina. El entorno normativo que rige estas materias es marcadamente dinámico, caracterizado por constantes actualizaciones de umbrales, derogaciones de regímenes y la emisión de nuevas resoluciones por parte de los organismos de control. En este contexto, el cumplimiento estricto y la actualización permanente son de importancia crítica para garantizar la seguridad jurídica de los actos, proteger a las partes intervinientes y evitar la imposición de severas sanciones.</w:t>
      </w:r>
    </w:p>
    <w:p w:rsidR="00000000" w:rsidDel="00000000" w:rsidP="00000000" w:rsidRDefault="00000000" w:rsidRPr="00000000" w14:paraId="00000004">
      <w:pPr>
        <w:spacing w:after="240" w:before="240" w:lineRule="auto"/>
        <w:rPr/>
      </w:pPr>
      <w:r w:rsidDel="00000000" w:rsidR="00000000" w:rsidRPr="00000000">
        <w:rPr>
          <w:rtl w:val="0"/>
        </w:rPr>
        <w:t xml:space="preserve">Para navegar este escenario con solvencia, se exige un conocimiento profundo de las responsabilidades impuestas por los distintos entes reguladores. Por ello, esta guía ofrecerá un análisis detallado de las obligaciones ante la Unidad de Información Financiera (UIF), el principal organismo de control en materia de prevención de lavado de activos.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rmqxixb2cdm" w:id="2"/>
      <w:bookmarkEnd w:id="2"/>
      <w:r w:rsidDel="00000000" w:rsidR="00000000" w:rsidRPr="00000000">
        <w:rPr>
          <w:b w:val="1"/>
          <w:bCs w:val="1"/>
          <w:sz w:val="34"/>
          <w:szCs w:val="34"/>
          <w:rtl w:val="0"/>
        </w:rPr>
        <w:t xml:space="preserve">2.0 El Fideicomiso en el Contexto de las Obligaciones de Reporte a la UIF</w:t>
      </w:r>
    </w:p>
    <w:p w:rsidR="00000000" w:rsidDel="00000000" w:rsidP="00000000" w:rsidRDefault="00000000" w:rsidRPr="00000000" w14:paraId="00000006">
      <w:pPr>
        <w:spacing w:after="240" w:before="240" w:lineRule="auto"/>
        <w:rPr/>
      </w:pPr>
      <w:r w:rsidDel="00000000" w:rsidR="00000000" w:rsidRPr="00000000">
        <w:rPr>
          <w:rtl w:val="0"/>
        </w:rPr>
        <w:t xml:space="preserve">Resulta de importancia estratégica comprender el tratamiento específico que la normativa de prevención de lavado de activos otorga a la figura del fideicomiso. Si bien este es una herramienta jurídica de gran versatilidad y utilidad en la estructuración de negocios y la planificación patrimonial, el enfoque regulatorio actual se centra en su acto fundacional como una operación que exige un escrutinio particular y un reporte específico por parte del notario interviniente.</w:t>
      </w:r>
    </w:p>
    <w:p w:rsidR="00000000" w:rsidDel="00000000" w:rsidP="00000000" w:rsidRDefault="00000000" w:rsidRPr="00000000" w14:paraId="00000007">
      <w:pPr>
        <w:spacing w:after="240" w:before="240" w:lineRule="auto"/>
        <w:rPr/>
      </w:pPr>
      <w:r w:rsidDel="00000000" w:rsidR="00000000" w:rsidRPr="00000000">
        <w:rPr>
          <w:rtl w:val="0"/>
        </w:rPr>
        <w:t xml:space="preserve">De acuerdo con lo establecido en la </w:t>
      </w:r>
      <w:r w:rsidDel="00000000" w:rsidR="00000000" w:rsidRPr="00000000">
        <w:rPr>
          <w:b w:val="1"/>
          <w:bCs w:val="1"/>
          <w:rtl w:val="0"/>
        </w:rPr>
        <w:t xml:space="preserve">Resolución UIF N° 242/2023</w:t>
      </w:r>
      <w:r w:rsidDel="00000000" w:rsidR="00000000" w:rsidRPr="00000000">
        <w:rPr>
          <w:rtl w:val="0"/>
        </w:rPr>
        <w:t xml:space="preserve">, la </w:t>
      </w:r>
      <w:r w:rsidDel="00000000" w:rsidR="00000000" w:rsidRPr="00000000">
        <w:rPr>
          <w:b w:val="1"/>
          <w:bCs w:val="1"/>
          <w:rtl w:val="0"/>
        </w:rPr>
        <w:t xml:space="preserve">"Constitución de Fideicomisos"</w:t>
      </w:r>
      <w:r w:rsidDel="00000000" w:rsidR="00000000" w:rsidRPr="00000000">
        <w:rPr>
          <w:rtl w:val="0"/>
        </w:rPr>
        <w:t xml:space="preserve"> es una de las operaciones que deben ser informadas de manera obligatoria dentro del Reporte Sistemático Mensual (RSM) de Actividades Específicas que los escribanos, como Sujetos Obligados, deben presentar ante la Unidad de Información Financiera.</w:t>
      </w:r>
    </w:p>
    <w:p w:rsidR="00000000" w:rsidDel="00000000" w:rsidP="00000000" w:rsidRDefault="00000000" w:rsidRPr="00000000" w14:paraId="00000008">
      <w:pPr>
        <w:spacing w:after="240" w:before="240" w:lineRule="auto"/>
        <w:rPr/>
      </w:pPr>
      <w:r w:rsidDel="00000000" w:rsidR="00000000" w:rsidRPr="00000000">
        <w:rPr>
          <w:rtl w:val="0"/>
        </w:rPr>
        <w:t xml:space="preserve">En el ámbito fiscal, la Ley de Impuesto a las Ganancias estipula que los resultados provenientes de la enajenación de </w:t>
      </w:r>
      <w:r w:rsidDel="00000000" w:rsidR="00000000" w:rsidRPr="00000000">
        <w:rPr>
          <w:b w:val="1"/>
          <w:bCs w:val="1"/>
          <w:rtl w:val="0"/>
        </w:rPr>
        <w:t xml:space="preserve">"certificados de participación de fideicomisos financieros"</w:t>
      </w:r>
      <w:r w:rsidDel="00000000" w:rsidR="00000000" w:rsidRPr="00000000">
        <w:rPr>
          <w:rtl w:val="0"/>
        </w:rPr>
        <w:t xml:space="preserve"> están gravados con una alícuota del </w:t>
      </w:r>
      <w:r w:rsidDel="00000000" w:rsidR="00000000" w:rsidRPr="00000000">
        <w:rPr>
          <w:b w:val="1"/>
          <w:bCs w:val="1"/>
          <w:rtl w:val="0"/>
        </w:rPr>
        <w:t xml:space="preserve">15%</w:t>
      </w:r>
      <w:r w:rsidDel="00000000" w:rsidR="00000000" w:rsidRPr="00000000">
        <w:rPr>
          <w:rtl w:val="0"/>
        </w:rPr>
        <w:t xml:space="preserve"> por el impuesto cedular. Es fundamental señalar que la información fuente proporcionada se enfoca estrictamente en estas obligaciones de reporte e implicancias fiscales, y no contiene un desglose detallado sobre la definición jurídica del fideicomiso, su composición, las partes que lo integran ni los distintos modelos y tipos posibles.</w:t>
      </w:r>
    </w:p>
    <w:p w:rsidR="00000000" w:rsidDel="00000000" w:rsidP="00000000" w:rsidRDefault="00000000" w:rsidRPr="00000000" w14:paraId="00000009">
      <w:pPr>
        <w:spacing w:after="240" w:before="240" w:lineRule="auto"/>
        <w:rPr/>
      </w:pPr>
      <w:r w:rsidDel="00000000" w:rsidR="00000000" w:rsidRPr="00000000">
        <w:rPr>
          <w:rtl w:val="0"/>
        </w:rPr>
        <w:t xml:space="preserve">Esta obligación de reportar la constitución de fideicomisos se enmarca en un conjunto más amplio de responsabilidades que el notario debe cumplir en su rol de sujeto obligado ante la UIF, las cuales se analizarán a continuación.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dbwsz8f4c2" w:id="3"/>
      <w:bookmarkEnd w:id="3"/>
      <w:r w:rsidDel="00000000" w:rsidR="00000000" w:rsidRPr="00000000">
        <w:rPr>
          <w:b w:val="1"/>
          <w:bCs w:val="1"/>
          <w:sz w:val="34"/>
          <w:szCs w:val="34"/>
          <w:rtl w:val="0"/>
        </w:rPr>
        <w:t xml:space="preserve">3.0 La Unidad de Información Financiera (UIF): Obligaciones Clave del Notariado</w:t>
      </w:r>
    </w:p>
    <w:p w:rsidR="00000000" w:rsidDel="00000000" w:rsidP="00000000" w:rsidRDefault="00000000" w:rsidRPr="00000000" w14:paraId="0000000B">
      <w:pPr>
        <w:spacing w:after="240" w:before="240" w:lineRule="auto"/>
        <w:rPr/>
      </w:pPr>
      <w:r w:rsidDel="00000000" w:rsidR="00000000" w:rsidRPr="00000000">
        <w:rPr>
          <w:rtl w:val="0"/>
        </w:rPr>
        <w:t xml:space="preserve">La Unidad de Información Financiera (UIF) es el ente central del sistema nacional de prevención y detección de delitos complejos, específicamente el Lavado de Activos (LA), el Financiamiento del Terrorismo (FT) y el Financiamiento de la Proliferación de Armas de Destrucción Masiva (FPADM). En su calidad de fedatarios públicos y por la naturaleza de los actos que autorizan, los escribanos son designados por ley como </w:t>
      </w:r>
      <w:r w:rsidDel="00000000" w:rsidR="00000000" w:rsidRPr="00000000">
        <w:rPr>
          <w:b w:val="1"/>
          <w:bCs w:val="1"/>
          <w:rtl w:val="0"/>
        </w:rPr>
        <w:t xml:space="preserve">"Sujetos Obligados"</w:t>
      </w:r>
      <w:r w:rsidDel="00000000" w:rsidR="00000000" w:rsidRPr="00000000">
        <w:rPr>
          <w:rtl w:val="0"/>
        </w:rPr>
        <w:t xml:space="preserve">. Esta designación les impone una serie de responsabilidades directas e indelegables, convirtiéndolos en una pieza fundamental de la primera línea de defensa contra el uso de estructuras jurídicas para fines ilícitos.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fifhr23jr7e" w:id="4"/>
      <w:bookmarkEnd w:id="4"/>
      <w:r w:rsidDel="00000000" w:rsidR="00000000" w:rsidRPr="00000000">
        <w:rPr>
          <w:b w:val="1"/>
          <w:bCs w:val="1"/>
          <w:color w:val="000000"/>
          <w:sz w:val="26"/>
          <w:szCs w:val="26"/>
          <w:rtl w:val="0"/>
        </w:rPr>
        <w:t xml:space="preserve">3.1 Tipos de Reportes y Plazos de Cumplimiento</w:t>
      </w:r>
    </w:p>
    <w:p w:rsidR="00000000" w:rsidDel="00000000" w:rsidP="00000000" w:rsidRDefault="00000000" w:rsidRPr="00000000" w14:paraId="0000000D">
      <w:pPr>
        <w:spacing w:after="240" w:before="240" w:lineRule="auto"/>
        <w:rPr/>
      </w:pPr>
      <w:r w:rsidDel="00000000" w:rsidR="00000000" w:rsidRPr="00000000">
        <w:rPr>
          <w:rtl w:val="0"/>
        </w:rPr>
        <w:t xml:space="preserve">Los escribanos deben presentar diferentes tipos de reportes a la UIF, cada uno con un propósito y plazos de cumplimiento específicos que deben ser observados rigurosamente:</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b w:val="1"/>
          <w:bCs w:val="1"/>
          <w:rtl w:val="0"/>
        </w:rPr>
        <w:t xml:space="preserve">Reporte Sistemático Mensual (RSM):</w:t>
      </w:r>
      <w:r w:rsidDel="00000000" w:rsidR="00000000" w:rsidRPr="00000000">
        <w:rPr>
          <w:rtl w:val="0"/>
        </w:rPr>
        <w:t xml:space="preserve"> Debe ser remitido exclusivamente por el Escribano Titular del registro, entre el día 1 y el 15 de cada mes. Este reporte informa las operaciones específicas realizadas durante el mes calendario anterior que superen los umbrales establecidos por la normativa.</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Reporte Sistemático Anual (RSA):</w:t>
      </w:r>
      <w:r w:rsidDel="00000000" w:rsidR="00000000" w:rsidRPr="00000000">
        <w:rPr>
          <w:rtl w:val="0"/>
        </w:rPr>
        <w:t xml:space="preserve"> También debe ser presentado por el Escribano Titular. Una comunicación del organismo de diciembre de 2024 informó que el vencimiento para la presentación del RSA correspondiente al año anterior se prorroga para el período comprendido entre el </w:t>
      </w:r>
      <w:r w:rsidDel="00000000" w:rsidR="00000000" w:rsidRPr="00000000">
        <w:rPr>
          <w:b w:val="1"/>
          <w:bCs w:val="1"/>
          <w:rtl w:val="0"/>
        </w:rPr>
        <w:t xml:space="preserve">1 y el 31 de agosto de 2025</w:t>
      </w:r>
      <w:r w:rsidDel="00000000" w:rsidR="00000000" w:rsidRPr="00000000">
        <w:rPr>
          <w:rtl w:val="0"/>
        </w:rPr>
        <w:t xml:space="preserve">, debido a una reevaluación de la información requerida.</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Reporte de Operación Sospechosa (ROS):</w:t>
      </w:r>
      <w:r w:rsidDel="00000000" w:rsidR="00000000" w:rsidRPr="00000000">
        <w:rPr>
          <w:rtl w:val="0"/>
        </w:rPr>
        <w:t xml:space="preserve"> Este es un deber que recae tanto sobre el Escribano Titular como sobre el Adscripto. Los plazos varían según la naturaleza de la sospecha:</w:t>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b w:val="1"/>
          <w:bCs w:val="1"/>
          <w:rtl w:val="0"/>
        </w:rPr>
        <w:t xml:space="preserve">Lavado de Activos (LA):</w:t>
      </w:r>
      <w:r w:rsidDel="00000000" w:rsidR="00000000" w:rsidRPr="00000000">
        <w:rPr>
          <w:rtl w:val="0"/>
        </w:rPr>
        <w:t xml:space="preserve"> El reporte debe remitirse en un plazo de </w:t>
      </w:r>
      <w:r w:rsidDel="00000000" w:rsidR="00000000" w:rsidRPr="00000000">
        <w:rPr>
          <w:b w:val="1"/>
          <w:bCs w:val="1"/>
          <w:rtl w:val="0"/>
        </w:rPr>
        <w:t xml:space="preserve">24 horas</w:t>
      </w:r>
      <w:r w:rsidDel="00000000" w:rsidR="00000000" w:rsidRPr="00000000">
        <w:rPr>
          <w:rtl w:val="0"/>
        </w:rPr>
        <w:t xml:space="preserve"> desde que se concluye que la operación es sospechosa. Este reporte no puede superar los </w:t>
      </w:r>
      <w:r w:rsidDel="00000000" w:rsidR="00000000" w:rsidRPr="00000000">
        <w:rPr>
          <w:b w:val="1"/>
          <w:bCs w:val="1"/>
          <w:rtl w:val="0"/>
        </w:rPr>
        <w:t xml:space="preserve">90 días corridos</w:t>
      </w:r>
      <w:r w:rsidDel="00000000" w:rsidR="00000000" w:rsidRPr="00000000">
        <w:rPr>
          <w:rtl w:val="0"/>
        </w:rPr>
        <w:t xml:space="preserve"> desde la fecha en que la operación fue realizada o tentada.</w:t>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b w:val="1"/>
          <w:bCs w:val="1"/>
          <w:rtl w:val="0"/>
        </w:rPr>
        <w:t xml:space="preserve">Financiación del Terrorismo (FT):</w:t>
      </w:r>
      <w:r w:rsidDel="00000000" w:rsidR="00000000" w:rsidRPr="00000000">
        <w:rPr>
          <w:rtl w:val="0"/>
        </w:rPr>
        <w:t xml:space="preserve"> El reporte debe remitirse en un plazo máximo de </w:t>
      </w:r>
      <w:r w:rsidDel="00000000" w:rsidR="00000000" w:rsidRPr="00000000">
        <w:rPr>
          <w:b w:val="1"/>
          <w:bCs w:val="1"/>
          <w:rtl w:val="0"/>
        </w:rPr>
        <w:t xml:space="preserve">24 horas</w:t>
      </w:r>
      <w:r w:rsidDel="00000000" w:rsidR="00000000" w:rsidRPr="00000000">
        <w:rPr>
          <w:rtl w:val="0"/>
        </w:rPr>
        <w:t xml:space="preserve"> computadas a partir de la fecha de la operación, ya sea realizada o tentada.</w:t>
      </w:r>
    </w:p>
    <w:p w:rsidR="00000000" w:rsidDel="00000000" w:rsidP="00000000" w:rsidRDefault="00000000" w:rsidRPr="00000000" w14:paraId="00000013">
      <w:pPr>
        <w:numPr>
          <w:ilvl w:val="1"/>
          <w:numId w:val="7"/>
        </w:numPr>
        <w:spacing w:after="240" w:before="0" w:beforeAutospacing="0" w:lineRule="auto"/>
        <w:ind w:left="1440" w:hanging="360"/>
      </w:pPr>
      <w:r w:rsidDel="00000000" w:rsidR="00000000" w:rsidRPr="00000000">
        <w:rPr>
          <w:b w:val="1"/>
          <w:bCs w:val="1"/>
          <w:rtl w:val="0"/>
        </w:rPr>
        <w:t xml:space="preserve">Financiamiento de la Proliferación de Armas de Destrucción Masiva (FPADM):</w:t>
      </w:r>
      <w:r w:rsidDel="00000000" w:rsidR="00000000" w:rsidRPr="00000000">
        <w:rPr>
          <w:rtl w:val="0"/>
        </w:rPr>
        <w:t xml:space="preserve"> Al igual que en el caso de FT, el plazo para reportar es de </w:t>
      </w:r>
      <w:r w:rsidDel="00000000" w:rsidR="00000000" w:rsidRPr="00000000">
        <w:rPr>
          <w:b w:val="1"/>
          <w:bCs w:val="1"/>
          <w:rtl w:val="0"/>
        </w:rPr>
        <w:t xml:space="preserve">24 horas</w:t>
      </w:r>
      <w:r w:rsidDel="00000000" w:rsidR="00000000" w:rsidRPr="00000000">
        <w:rPr>
          <w:rtl w:val="0"/>
        </w:rPr>
        <w:t xml:space="preserve"> desde la fecha de la operación realizada o tentada.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rcy85sshgxd" w:id="5"/>
      <w:bookmarkEnd w:id="5"/>
      <w:r w:rsidDel="00000000" w:rsidR="00000000" w:rsidRPr="00000000">
        <w:rPr>
          <w:b w:val="1"/>
          <w:bCs w:val="1"/>
          <w:color w:val="000000"/>
          <w:sz w:val="26"/>
          <w:szCs w:val="26"/>
          <w:rtl w:val="0"/>
        </w:rPr>
        <w:t xml:space="preserve">3.2 Debida Diligencia y Perfil del Cliente</w:t>
      </w:r>
    </w:p>
    <w:p w:rsidR="00000000" w:rsidDel="00000000" w:rsidP="00000000" w:rsidRDefault="00000000" w:rsidRPr="00000000" w14:paraId="00000015">
      <w:pPr>
        <w:spacing w:after="240" w:before="240" w:lineRule="auto"/>
        <w:rPr/>
      </w:pPr>
      <w:r w:rsidDel="00000000" w:rsidR="00000000" w:rsidRPr="00000000">
        <w:rPr>
          <w:rtl w:val="0"/>
        </w:rPr>
        <w:t xml:space="preserve">El procedimiento de debida diligencia es una obligación central que deben aplicar los escribanos a todos sus clientes, independientemente del monto del acto a celebrarse. Este proceso se fundamenta en un </w:t>
      </w:r>
      <w:r w:rsidDel="00000000" w:rsidR="00000000" w:rsidRPr="00000000">
        <w:rPr>
          <w:b w:val="1"/>
          <w:bCs w:val="1"/>
          <w:rtl w:val="0"/>
        </w:rPr>
        <w:t xml:space="preserve">enfoque basado en riesgo</w:t>
      </w:r>
      <w:r w:rsidDel="00000000" w:rsidR="00000000" w:rsidRPr="00000000">
        <w:rPr>
          <w:rtl w:val="0"/>
        </w:rPr>
        <w:t xml:space="preserve">, lo que significa que la profundidad del análisis y la documentación a requerir dependerá del nivel de riesgo que el notario asigne a cada cliente y operación.</w:t>
      </w:r>
    </w:p>
    <w:p w:rsidR="00000000" w:rsidDel="00000000" w:rsidP="00000000" w:rsidRDefault="00000000" w:rsidRPr="00000000" w14:paraId="00000016">
      <w:pPr>
        <w:spacing w:after="240" w:before="240" w:lineRule="auto"/>
        <w:rPr/>
      </w:pPr>
      <w:r w:rsidDel="00000000" w:rsidR="00000000" w:rsidRPr="00000000">
        <w:rPr>
          <w:rtl w:val="0"/>
        </w:rPr>
        <w:t xml:space="preserve">Un cambio normativo de gran relevancia, introducido por la </w:t>
      </w:r>
      <w:r w:rsidDel="00000000" w:rsidR="00000000" w:rsidRPr="00000000">
        <w:rPr>
          <w:b w:val="1"/>
          <w:bCs w:val="1"/>
          <w:rtl w:val="0"/>
        </w:rPr>
        <w:t xml:space="preserve">Resolución UIF N° 78/2025</w:t>
      </w:r>
      <w:r w:rsidDel="00000000" w:rsidR="00000000" w:rsidRPr="00000000">
        <w:rPr>
          <w:rtl w:val="0"/>
        </w:rPr>
        <w:t xml:space="preserve">, ha modificado la forma de confeccionar el perfil transaccional del cliente. La resolución </w:t>
      </w:r>
      <w:r w:rsidDel="00000000" w:rsidR="00000000" w:rsidRPr="00000000">
        <w:rPr>
          <w:b w:val="1"/>
          <w:bCs w:val="1"/>
          <w:rtl w:val="0"/>
        </w:rPr>
        <w:t xml:space="preserve">prohíbe explícitamente a los Sujetos Obligados requerir declaraciones juradas impositivas</w:t>
      </w:r>
      <w:r w:rsidDel="00000000" w:rsidR="00000000" w:rsidRPr="00000000">
        <w:rPr>
          <w:rtl w:val="0"/>
        </w:rPr>
        <w:t xml:space="preserve"> para este fin. En su lugar, se ha formalizado la incorporación de la </w:t>
      </w:r>
      <w:r w:rsidDel="00000000" w:rsidR="00000000" w:rsidRPr="00000000">
        <w:rPr>
          <w:b w:val="1"/>
          <w:bCs w:val="1"/>
          <w:rtl w:val="0"/>
        </w:rPr>
        <w:t xml:space="preserve">"declaración jurada de origen y licitud de los fondos"</w:t>
      </w:r>
      <w:r w:rsidDel="00000000" w:rsidR="00000000" w:rsidRPr="00000000">
        <w:rPr>
          <w:rtl w:val="0"/>
        </w:rPr>
        <w:t xml:space="preserve"> como herramienta clave. Este cambio es sustancial, ya que traslada la responsabilidad de la debida diligencia desde una simple verificación documental (la declaración jurada impositiva) hacia un análisis más profundo y proactivo por parte del notario, quien ahora debe construir y justificar el perfil del cliente basándose en la documentación de respaldo que solicita y en la "declaración jurada de origen y licitud de los fondos".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wc3hpmnrloeh" w:id="6"/>
      <w:bookmarkEnd w:id="6"/>
      <w:r w:rsidDel="00000000" w:rsidR="00000000" w:rsidRPr="00000000">
        <w:rPr>
          <w:b w:val="1"/>
          <w:bCs w:val="1"/>
          <w:color w:val="000000"/>
          <w:sz w:val="26"/>
          <w:szCs w:val="26"/>
          <w:rtl w:val="0"/>
        </w:rPr>
        <w:t xml:space="preserve">3.3 Umbrales de Reporte Sistemático Mensual (RSM)</w:t>
      </w:r>
    </w:p>
    <w:p w:rsidR="00000000" w:rsidDel="00000000" w:rsidP="00000000" w:rsidRDefault="00000000" w:rsidRPr="00000000" w14:paraId="00000018">
      <w:pPr>
        <w:spacing w:after="240" w:before="240" w:lineRule="auto"/>
        <w:rPr/>
      </w:pPr>
      <w:r w:rsidDel="00000000" w:rsidR="00000000" w:rsidRPr="00000000">
        <w:rPr>
          <w:rtl w:val="0"/>
        </w:rPr>
        <w:t xml:space="preserve">Conforme a la Resolución UIF N° 242/2023 y las actualizaciones de la Resolución UIF N° 78/2025, los escribanos deben reportar mensualmente las siguientes operaciones cuando superen los umbrales vigentes, expresados en Salarios Mínimos, Vitales y Móviles (SMVM).</w:t>
      </w:r>
    </w:p>
    <w:tbl>
      <w:tblPr>
        <w:tblStyle w:val="Table1"/>
        <w:tblW w:w="92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855"/>
        <w:gridCol w:w="6440"/>
        <w:tblGridChange w:id="0">
          <w:tblGrid>
            <w:gridCol w:w="2855"/>
            <w:gridCol w:w="6440"/>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Actividad Específica a Reportar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Umbral y Período de Vigencia</w:t>
            </w:r>
          </w:p>
        </w:tc>
      </w:tr>
      <w:tr>
        <w:trPr>
          <w:cantSplit w:val="0"/>
          <w:trHeight w:val="162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Transferencias de dominio de inmuebles en efectivo</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bCs w:val="1"/>
                <w:rtl w:val="0"/>
              </w:rPr>
              <w:t xml:space="preserve">700 SMVM</w:t>
            </w:r>
            <w:r w:rsidDel="00000000" w:rsidR="00000000" w:rsidRPr="00000000">
              <w:rPr>
                <w:rtl w:val="0"/>
              </w:rPr>
              <w:t xml:space="preserve"> (Hasta Res. UIF 78/2025)&lt;br&gt;▪ </w:t>
            </w:r>
            <w:r w:rsidDel="00000000" w:rsidR="00000000" w:rsidRPr="00000000">
              <w:rPr>
                <w:b w:val="1"/>
                <w:bCs w:val="1"/>
                <w:rtl w:val="0"/>
              </w:rPr>
              <w:t xml:space="preserve">177.962.337** (Jul-Dic 2024)&lt;br&gt;▪ **195.802.600</w:t>
            </w:r>
            <w:r w:rsidDel="00000000" w:rsidR="00000000" w:rsidRPr="00000000">
              <w:rPr>
                <w:rtl w:val="0"/>
              </w:rPr>
              <w:t xml:space="preserve"> (Ene-Jun 2025)&lt;br&gt;&lt;br&gt;</w:t>
            </w:r>
            <w:r w:rsidDel="00000000" w:rsidR="00000000" w:rsidRPr="00000000">
              <w:rPr>
                <w:b w:val="1"/>
                <w:bCs w:val="1"/>
                <w:rtl w:val="0"/>
              </w:rPr>
              <w:t xml:space="preserve">750 SMVM</w:t>
            </w:r>
            <w:r w:rsidDel="00000000" w:rsidR="00000000" w:rsidRPr="00000000">
              <w:rPr>
                <w:rtl w:val="0"/>
              </w:rPr>
              <w:t xml:space="preserve"> (A partir de Res. UIF 78/2025)&lt;br&gt;▪ </w:t>
            </w:r>
            <w:r w:rsidDel="00000000" w:rsidR="00000000" w:rsidRPr="00000000">
              <w:rPr>
                <w:b w:val="1"/>
                <w:bCs w:val="1"/>
                <w:rtl w:val="0"/>
              </w:rPr>
              <w:t xml:space="preserve">235.050.000** (Jul-Dic 2025)&lt;br&gt;▪ **251.100.000</w:t>
            </w:r>
            <w:r w:rsidDel="00000000" w:rsidR="00000000" w:rsidRPr="00000000">
              <w:rPr>
                <w:rtl w:val="0"/>
              </w:rPr>
              <w:t xml:space="preserve"> (Ene-Jun 2026)</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Transferencias de dominio de inmuebles en Zonas de Frontera</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700 SMVM</w:t>
            </w:r>
            <w:r w:rsidDel="00000000" w:rsidR="00000000" w:rsidRPr="00000000">
              <w:rPr>
                <w:rtl w:val="0"/>
              </w:rPr>
              <w:t xml:space="preserve">&lt;br&gt;▪ </w:t>
            </w:r>
            <w:r w:rsidDel="00000000" w:rsidR="00000000" w:rsidRPr="00000000">
              <w:rPr>
                <w:b w:val="1"/>
                <w:bCs w:val="1"/>
                <w:rtl w:val="0"/>
              </w:rPr>
              <w:t xml:space="preserve">177.962.337** (Jul-Dic 2024)&lt;br&gt;▪ **195.802.600</w:t>
            </w:r>
            <w:r w:rsidDel="00000000" w:rsidR="00000000" w:rsidRPr="00000000">
              <w:rPr>
                <w:rtl w:val="0"/>
              </w:rPr>
              <w:t xml:space="preserve"> (Ene-Jun 2025)&lt;br&gt;▪ </w:t>
            </w:r>
            <w:r w:rsidDel="00000000" w:rsidR="00000000" w:rsidRPr="00000000">
              <w:rPr>
                <w:b w:val="1"/>
                <w:bCs w:val="1"/>
                <w:rtl w:val="0"/>
              </w:rPr>
              <w:t xml:space="preserve">219.380.000** (Jul-Dic 2025)&lt;br&gt;▪ **234.360.000</w:t>
            </w:r>
            <w:r w:rsidDel="00000000" w:rsidR="00000000" w:rsidRPr="00000000">
              <w:rPr>
                <w:rtl w:val="0"/>
              </w:rPr>
              <w:t xml:space="preserve"> (Ene-Jun 2026)</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Constitución de personas jurídicas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Sin umbral monetario. Reportable por su naturaleza.</w:t>
            </w:r>
          </w:p>
        </w:tc>
      </w:tr>
      <w:tr>
        <w:trPr>
          <w:cantSplit w:val="0"/>
          <w:trHeight w:val="107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Cesión de participaciones societarias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Sin umbral monetario. Reportable por su naturaleza.</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Constitución de Fideicomisos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Sin umbral monetario. Reportable por su naturaleza.</w:t>
            </w:r>
          </w:p>
        </w:tc>
      </w:tr>
    </w:tbl>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Nota: Los valores en pesos se actualizan semestralmente de acuerdo con la evolución del SMVM.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e7igc5q205p" w:id="7"/>
      <w:bookmarkEnd w:id="7"/>
      <w:r w:rsidDel="00000000" w:rsidR="00000000" w:rsidRPr="00000000">
        <w:rPr>
          <w:b w:val="1"/>
          <w:bCs w:val="1"/>
          <w:color w:val="000000"/>
          <w:sz w:val="26"/>
          <w:szCs w:val="26"/>
          <w:rtl w:val="0"/>
        </w:rPr>
        <w:t xml:space="preserve">3.4 Personas Expuestas Políticamente (PEP)</w:t>
      </w:r>
    </w:p>
    <w:p w:rsidR="00000000" w:rsidDel="00000000" w:rsidP="00000000" w:rsidRDefault="00000000" w:rsidRPr="00000000" w14:paraId="00000027">
      <w:pPr>
        <w:spacing w:after="240" w:before="240" w:lineRule="auto"/>
        <w:rPr/>
      </w:pPr>
      <w:r w:rsidDel="00000000" w:rsidR="00000000" w:rsidRPr="00000000">
        <w:rPr>
          <w:rtl w:val="0"/>
        </w:rPr>
        <w:t xml:space="preserve">La normativa exige un tratamiento de debida diligencia reforzada para las Personas Expuestas Políticamente (PEP). La </w:t>
      </w:r>
      <w:r w:rsidDel="00000000" w:rsidR="00000000" w:rsidRPr="00000000">
        <w:rPr>
          <w:b w:val="1"/>
          <w:bCs w:val="1"/>
          <w:rtl w:val="0"/>
        </w:rPr>
        <w:t xml:space="preserve">Resolución UIF N° 192/2024</w:t>
      </w:r>
      <w:r w:rsidDel="00000000" w:rsidR="00000000" w:rsidRPr="00000000">
        <w:rPr>
          <w:rtl w:val="0"/>
        </w:rPr>
        <w:t xml:space="preserve">, que modifica la Resolución 35/2023, alinea la definición de PEP con las recomendaciones del Grupo de Acción Financiera Internacional (GAFI). El concepto se centra en individuos a quienes se les han confiado funciones públicas prominentes a nivel nacional, como jefes de estado, políticos de alto nivel, funcionarios gubernamentales o judiciales de alto rango y ejecutivos de corporaciones estatales, excluyendo a individuos de rango medio o subalterno.</w:t>
      </w:r>
    </w:p>
    <w:p w:rsidR="00000000" w:rsidDel="00000000" w:rsidP="00000000" w:rsidRDefault="00000000" w:rsidRPr="00000000" w14:paraId="00000028">
      <w:pPr>
        <w:spacing w:after="240" w:before="240" w:lineRule="auto"/>
        <w:rPr/>
      </w:pPr>
      <w:r w:rsidDel="00000000" w:rsidR="00000000" w:rsidRPr="00000000">
        <w:rPr>
          <w:rtl w:val="0"/>
        </w:rPr>
        <w:t xml:space="preserve">El notario tiene la obligación de recabar una declaración jurada del cliente sobre su condición de PEP. Dicha declaración </w:t>
      </w:r>
      <w:r w:rsidDel="00000000" w:rsidR="00000000" w:rsidRPr="00000000">
        <w:rPr>
          <w:b w:val="1"/>
          <w:bCs w:val="1"/>
          <w:rtl w:val="0"/>
        </w:rPr>
        <w:t xml:space="preserve">puede constar directamente en el texto de la escritura pública o instrumentarse en un documento por separado</w:t>
      </w:r>
      <w:r w:rsidDel="00000000" w:rsidR="00000000" w:rsidRPr="00000000">
        <w:rPr>
          <w:rtl w:val="0"/>
        </w:rPr>
        <w:t xml:space="preserve"> que quedará archivado en poder del escribano.</w:t>
      </w:r>
    </w:p>
    <w:p w:rsidR="00000000" w:rsidDel="00000000" w:rsidP="00000000" w:rsidRDefault="00000000" w:rsidRPr="00000000" w14:paraId="00000029">
      <w:pPr>
        <w:spacing w:after="240" w:before="240" w:lineRule="auto"/>
        <w:rPr/>
      </w:pPr>
      <w:r w:rsidDel="00000000" w:rsidR="00000000" w:rsidRPr="00000000">
        <w:rPr>
          <w:rtl w:val="0"/>
        </w:rPr>
        <w:t xml:space="preserve">Además de las regulaciones de la UIF, la práctica notarial diaria se encuentra normada por las Disposiciones Técnico Registrales que dictan los Registros de la Propiedad Inmueble.</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ld79xiy9o98" w:id="8"/>
      <w:bookmarkEnd w:id="8"/>
      <w:r w:rsidDel="00000000" w:rsidR="00000000" w:rsidRPr="00000000">
        <w:rPr>
          <w:b w:val="1"/>
          <w:bCs w:val="1"/>
          <w:sz w:val="34"/>
          <w:szCs w:val="34"/>
          <w:rtl w:val="0"/>
        </w:rPr>
        <w:t xml:space="preserve">4.0 Análisis de Disposiciones Técnico Registrales (DTR) Relevantes</w:t>
      </w:r>
    </w:p>
    <w:p w:rsidR="00000000" w:rsidDel="00000000" w:rsidP="00000000" w:rsidRDefault="00000000" w:rsidRPr="00000000" w14:paraId="0000002B">
      <w:pPr>
        <w:spacing w:after="240" w:before="240" w:lineRule="auto"/>
        <w:rPr/>
      </w:pPr>
      <w:r w:rsidDel="00000000" w:rsidR="00000000" w:rsidRPr="00000000">
        <w:rPr>
          <w:rtl w:val="0"/>
        </w:rPr>
        <w:t xml:space="preserve">Las Disposiciones Técnico Registrales (DTR) son normativas emitidas por la Dirección Provincial del Registro de la Propiedad Inmueble que tienen como función principal estandarizar los procedimientos de calificación e inscripción de documentos. Estas disposiciones aseguran la uniformidad de criterios y aportan claridad sobre los requisitos formales que deben cumplir los documentos notariales y judiciales para su correcta registración.</w:t>
      </w:r>
    </w:p>
    <w:p w:rsidR="00000000" w:rsidDel="00000000" w:rsidP="00000000" w:rsidRDefault="00000000" w:rsidRPr="00000000" w14:paraId="0000002C">
      <w:pPr>
        <w:spacing w:after="240" w:before="240" w:lineRule="auto"/>
        <w:rPr/>
      </w:pPr>
      <w:r w:rsidDel="00000000" w:rsidR="00000000" w:rsidRPr="00000000">
        <w:rPr>
          <w:rtl w:val="0"/>
        </w:rPr>
        <w:t xml:space="preserve">En relación con la solicitud específica sobre la </w:t>
      </w:r>
      <w:r w:rsidDel="00000000" w:rsidR="00000000" w:rsidRPr="00000000">
        <w:rPr>
          <w:b w:val="1"/>
          <w:bCs w:val="1"/>
          <w:rtl w:val="0"/>
        </w:rPr>
        <w:t xml:space="preserve">DTR 8/2025</w:t>
      </w:r>
      <w:r w:rsidDel="00000000" w:rsidR="00000000" w:rsidRPr="00000000">
        <w:rPr>
          <w:rtl w:val="0"/>
        </w:rPr>
        <w:t xml:space="preserve"> y la </w:t>
      </w:r>
      <w:r w:rsidDel="00000000" w:rsidR="00000000" w:rsidRPr="00000000">
        <w:rPr>
          <w:b w:val="1"/>
          <w:bCs w:val="1"/>
          <w:rtl w:val="0"/>
        </w:rPr>
        <w:t xml:space="preserve">DTR 6/2025</w:t>
      </w:r>
      <w:r w:rsidDel="00000000" w:rsidR="00000000" w:rsidRPr="00000000">
        <w:rPr>
          <w:rtl w:val="0"/>
        </w:rPr>
        <w:t xml:space="preserve">, es imperativo señalar que el contexto fuente no proporciona el texto ni un análisis detallado del contenido de ninguna de estas dos normativas. La documentación disponible únicamente menciona de manera explícita que la Disposición Técnico Registral N° 6/2023 fue </w:t>
      </w:r>
      <w:r w:rsidDel="00000000" w:rsidR="00000000" w:rsidRPr="00000000">
        <w:rPr>
          <w:b w:val="1"/>
          <w:bCs w:val="1"/>
          <w:rtl w:val="0"/>
        </w:rPr>
        <w:t xml:space="preserve">derogada por la DTR 6/2025</w:t>
      </w:r>
      <w:r w:rsidDel="00000000" w:rsidR="00000000" w:rsidRPr="00000000">
        <w:rPr>
          <w:rtl w:val="0"/>
        </w:rPr>
        <w:t xml:space="preserve">, sin ofrecer más información al respecto.</w:t>
      </w:r>
    </w:p>
    <w:p w:rsidR="00000000" w:rsidDel="00000000" w:rsidP="00000000" w:rsidRDefault="00000000" w:rsidRPr="00000000" w14:paraId="0000002D">
      <w:pPr>
        <w:spacing w:after="240" w:before="240" w:lineRule="auto"/>
        <w:rPr/>
      </w:pPr>
      <w:r w:rsidDel="00000000" w:rsidR="00000000" w:rsidRPr="00000000">
        <w:rPr>
          <w:rtl w:val="0"/>
        </w:rPr>
        <w:t xml:space="preserve">Por otro lado, es relevante destacar el impacto de la </w:t>
      </w:r>
      <w:r w:rsidDel="00000000" w:rsidR="00000000" w:rsidRPr="00000000">
        <w:rPr>
          <w:b w:val="1"/>
          <w:bCs w:val="1"/>
          <w:rtl w:val="0"/>
        </w:rPr>
        <w:t xml:space="preserve">Resolución UIF N° 78/2025</w:t>
      </w:r>
      <w:r w:rsidDel="00000000" w:rsidR="00000000" w:rsidRPr="00000000">
        <w:rPr>
          <w:rtl w:val="0"/>
        </w:rPr>
        <w:t xml:space="preserve"> en el ámbito registral. Aunque no es una DTR, esta resolución modifica la Resolución UIF N° 70/2011 y actualiza el umbral de reporte para la compraventa de inmuebles a </w:t>
      </w:r>
      <w:r w:rsidDel="00000000" w:rsidR="00000000" w:rsidRPr="00000000">
        <w:rPr>
          <w:b w:val="1"/>
          <w:bCs w:val="1"/>
          <w:rtl w:val="0"/>
        </w:rPr>
        <w:t xml:space="preserve">750 SMVM</w:t>
      </w:r>
      <w:r w:rsidDel="00000000" w:rsidR="00000000" w:rsidRPr="00000000">
        <w:rPr>
          <w:rtl w:val="0"/>
        </w:rPr>
        <w:t xml:space="preserve">. Esta modificación impacta directamente en las obligaciones de los Registros de la Propiedad Inmueble, quienes, como Sujetos Obligados, deben informar a la UIF las inscripciones de compraventas que superen dicho monto.</w:t>
      </w:r>
    </w:p>
    <w:p w:rsidR="00000000" w:rsidDel="00000000" w:rsidP="00000000" w:rsidRDefault="00000000" w:rsidRPr="00000000" w14:paraId="0000002E">
      <w:pPr>
        <w:spacing w:after="240" w:before="240" w:lineRule="auto"/>
        <w:rPr/>
      </w:pPr>
      <w:r w:rsidDel="00000000" w:rsidR="00000000" w:rsidRPr="00000000">
        <w:rPr>
          <w:rtl w:val="0"/>
        </w:rPr>
        <w:t xml:space="preserve">A continuación, se analizarán otros regímenes informativos y tributarios de gran relevancia para la actividad notarial.</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e91fsjll358" w:id="9"/>
      <w:bookmarkEnd w:id="9"/>
      <w:r w:rsidDel="00000000" w:rsidR="00000000" w:rsidRPr="00000000">
        <w:rPr>
          <w:b w:val="1"/>
          <w:bCs w:val="1"/>
          <w:sz w:val="34"/>
          <w:szCs w:val="34"/>
          <w:rtl w:val="0"/>
        </w:rPr>
        <w:t xml:space="preserve">5.0 Marco Tributario y Regímenes de Información Derogados</w:t>
      </w:r>
    </w:p>
    <w:p w:rsidR="00000000" w:rsidDel="00000000" w:rsidP="00000000" w:rsidRDefault="00000000" w:rsidRPr="00000000" w14:paraId="00000030">
      <w:pPr>
        <w:spacing w:after="240" w:before="240" w:lineRule="auto"/>
        <w:rPr/>
      </w:pPr>
      <w:r w:rsidDel="00000000" w:rsidR="00000000" w:rsidRPr="00000000">
        <w:rPr>
          <w:rtl w:val="0"/>
        </w:rPr>
        <w:t xml:space="preserve">Para el correcto ejercicio de la función notarial, es crucial que el agente no solo domine las obligaciones tributarias vigentes, sino que también tenga pleno conocimiento de aquellos regímenes de información que han sido modificados o eliminados recientemente. Esta actualización constante es fundamental para evitar errores operativos, prevenir observaciones y garantizar el cumplimiento fiscal de los actos autorizados.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bkxkp1xmeow" w:id="10"/>
      <w:bookmarkEnd w:id="10"/>
      <w:r w:rsidDel="00000000" w:rsidR="00000000" w:rsidRPr="00000000">
        <w:rPr>
          <w:b w:val="1"/>
          <w:bCs w:val="1"/>
          <w:color w:val="000000"/>
          <w:sz w:val="26"/>
          <w:szCs w:val="26"/>
          <w:rtl w:val="0"/>
        </w:rPr>
        <w:t xml:space="preserve">5.1 Regímenes Derogados: COTI y CITI Escribanos</w:t>
      </w:r>
    </w:p>
    <w:p w:rsidR="00000000" w:rsidDel="00000000" w:rsidP="00000000" w:rsidRDefault="00000000" w:rsidRPr="00000000" w14:paraId="00000032">
      <w:pPr>
        <w:spacing w:after="240" w:before="240" w:lineRule="auto"/>
        <w:rPr/>
      </w:pPr>
      <w:r w:rsidDel="00000000" w:rsidR="00000000" w:rsidRPr="00000000">
        <w:rPr>
          <w:rtl w:val="0"/>
        </w:rPr>
        <w:t xml:space="preserve">Dos regímenes informativos de gran importancia histórica para la actividad inmobiliaria han sido derogados recientemente:</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Código de Oferta de Transferencia de Inmuebles (COTI):</w:t>
      </w:r>
      <w:r w:rsidDel="00000000" w:rsidR="00000000" w:rsidRPr="00000000">
        <w:rPr>
          <w:rtl w:val="0"/>
        </w:rPr>
        <w:t xml:space="preserve"> Era un código que debía ser obtenido por el vendedor ante la AFIP, ahora denominada Agencia de Recaudación y Control Aduanera (ARCA), previo a la oferta o comercialización de un inmueble cuyo valor superara un monto determinado. A partir del </w:t>
      </w:r>
      <w:r w:rsidDel="00000000" w:rsidR="00000000" w:rsidRPr="00000000">
        <w:rPr>
          <w:b w:val="1"/>
          <w:bCs w:val="1"/>
          <w:rtl w:val="0"/>
        </w:rPr>
        <w:t xml:space="preserve">23 de mayo de 2025</w:t>
      </w:r>
      <w:r w:rsidDel="00000000" w:rsidR="00000000" w:rsidRPr="00000000">
        <w:rPr>
          <w:rtl w:val="0"/>
        </w:rPr>
        <w:t xml:space="preserve">, mediante la Resolución General 5697/25, </w:t>
      </w:r>
      <w:r w:rsidDel="00000000" w:rsidR="00000000" w:rsidRPr="00000000">
        <w:rPr>
          <w:b w:val="1"/>
          <w:bCs w:val="1"/>
          <w:rtl w:val="0"/>
        </w:rPr>
        <w:t xml:space="preserve">se eliminó la obligación de tramitar el COTI</w:t>
      </w:r>
      <w:r w:rsidDel="00000000" w:rsidR="00000000" w:rsidRPr="00000000">
        <w:rPr>
          <w:rtl w:val="0"/>
        </w:rPr>
        <w:t xml:space="preserve">.</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CITI Escribanos (Cruzamiento Informático de Transacciones Importantes):</w:t>
      </w:r>
      <w:r w:rsidDel="00000000" w:rsidR="00000000" w:rsidRPr="00000000">
        <w:rPr>
          <w:rtl w:val="0"/>
        </w:rPr>
        <w:t xml:space="preserve"> Era un régimen de información a través del cual los escribanos debían reportar a la AFIP diversas operaciones. Este régimen </w:t>
      </w:r>
      <w:r w:rsidDel="00000000" w:rsidR="00000000" w:rsidRPr="00000000">
        <w:rPr>
          <w:b w:val="1"/>
          <w:bCs w:val="1"/>
          <w:rtl w:val="0"/>
        </w:rPr>
        <w:t xml:space="preserve">fue derogado a partir del 1 de junio de 2025</w:t>
      </w:r>
      <w:r w:rsidDel="00000000" w:rsidR="00000000" w:rsidRPr="00000000">
        <w:rPr>
          <w:rtl w:val="0"/>
        </w:rPr>
        <w:t xml:space="preserve"> por la Resolución General 5698/25.</w:t>
      </w:r>
    </w:p>
    <w:p w:rsidR="00000000" w:rsidDel="00000000" w:rsidP="00000000" w:rsidRDefault="00000000" w:rsidRPr="00000000" w14:paraId="00000035">
      <w:pPr>
        <w:spacing w:after="240" w:before="240" w:lineRule="auto"/>
        <w:rPr/>
      </w:pPr>
      <w:r w:rsidDel="00000000" w:rsidR="00000000" w:rsidRPr="00000000">
        <w:rPr>
          <w:rtl w:val="0"/>
        </w:rPr>
        <w:t xml:space="preserve">La derogación de estos regímenes históricos simplifica la carga administrativa previa a la escrituración, pero a la vez concentra una mayor responsabilidad en los reportes sistemáticos a la UIF como principal herramienta de control fiscal y de prevención de LA/FT para estas operaciones.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y1bft3g6wqo" w:id="11"/>
      <w:bookmarkEnd w:id="11"/>
      <w:r w:rsidDel="00000000" w:rsidR="00000000" w:rsidRPr="00000000">
        <w:rPr>
          <w:b w:val="1"/>
          <w:bCs w:val="1"/>
          <w:color w:val="000000"/>
          <w:sz w:val="26"/>
          <w:szCs w:val="26"/>
          <w:rtl w:val="0"/>
        </w:rPr>
        <w:t xml:space="preserve">5.2 Obligaciones Tributarias Vigentes y Pasadas</w:t>
      </w:r>
    </w:p>
    <w:p w:rsidR="00000000" w:rsidDel="00000000" w:rsidP="00000000" w:rsidRDefault="00000000" w:rsidRPr="00000000" w14:paraId="00000037">
      <w:pPr>
        <w:spacing w:after="240" w:before="240" w:lineRule="auto"/>
        <w:rPr/>
      </w:pPr>
      <w:r w:rsidDel="00000000" w:rsidR="00000000" w:rsidRPr="00000000">
        <w:rPr>
          <w:rtl w:val="0"/>
        </w:rPr>
        <w:t xml:space="preserve">A continuación, se desglosan algunas de las obligaciones tributarias clave, basadas en la normativa y las preguntas frecuentes del sector:</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Impuesto a las Ganancias:</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rtl w:val="0"/>
        </w:rPr>
        <w:t xml:space="preserve">Base Imponible y Retención:</w:t>
      </w:r>
      <w:r w:rsidDel="00000000" w:rsidR="00000000" w:rsidRPr="00000000">
        <w:rPr>
          <w:rtl w:val="0"/>
        </w:rPr>
        <w:t xml:space="preserve"> El escribano debe practicar una retención del </w:t>
      </w:r>
      <w:r w:rsidDel="00000000" w:rsidR="00000000" w:rsidRPr="00000000">
        <w:rPr>
          <w:b w:val="1"/>
          <w:bCs w:val="1"/>
          <w:rtl w:val="0"/>
        </w:rPr>
        <w:t xml:space="preserve">3%</w:t>
      </w:r>
      <w:r w:rsidDel="00000000" w:rsidR="00000000" w:rsidRPr="00000000">
        <w:rPr>
          <w:rtl w:val="0"/>
        </w:rPr>
        <w:t xml:space="preserve">. Esta se calcula sobre el precio de transferencia que surja de la escritura, el cual no puede ser inferior a la base imponible del impuesto inmobiliario o a la valuación fiscal vigente. Si el precio se pacta en moneda extranjera, se utiliza el tipo de cambio vendedor del Banco de la Nación Argentina del día hábil anterior al pago.</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Impuesto a la Transmisión de Inmuebles (ITI):</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Derogación:</w:t>
      </w:r>
      <w:r w:rsidDel="00000000" w:rsidR="00000000" w:rsidRPr="00000000">
        <w:rPr>
          <w:rtl w:val="0"/>
        </w:rPr>
        <w:t xml:space="preserve"> Este impuesto, que gravaba la transferencia de inmuebles de personas físicas y sucesiones indivisas, </w:t>
      </w:r>
      <w:r w:rsidDel="00000000" w:rsidR="00000000" w:rsidRPr="00000000">
        <w:rPr>
          <w:b w:val="1"/>
          <w:bCs w:val="1"/>
          <w:rtl w:val="0"/>
        </w:rPr>
        <w:t xml:space="preserve">fue derogado a partir del 8 de julio de 2024</w:t>
      </w:r>
      <w:r w:rsidDel="00000000" w:rsidR="00000000" w:rsidRPr="00000000">
        <w:rPr>
          <w:rtl w:val="0"/>
        </w:rPr>
        <w:t xml:space="preserve"> por el </w:t>
      </w:r>
      <w:r w:rsidDel="00000000" w:rsidR="00000000" w:rsidRPr="00000000">
        <w:rPr>
          <w:b w:val="1"/>
          <w:bCs w:val="1"/>
          <w:rtl w:val="0"/>
        </w:rPr>
        <w:t xml:space="preserve">artículo 67</w:t>
      </w:r>
      <w:r w:rsidDel="00000000" w:rsidR="00000000" w:rsidRPr="00000000">
        <w:rPr>
          <w:rtl w:val="0"/>
        </w:rPr>
        <w:t xml:space="preserve"> de la Ley 27.743. Por lo tanto, ya no corresponde su retención.</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Impuesto a la Transmisión Gratuita de Bienes (ITGB - Provincia de Buenos Aires):</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Hecho Imponible:</w:t>
      </w:r>
      <w:r w:rsidDel="00000000" w:rsidR="00000000" w:rsidRPr="00000000">
        <w:rPr>
          <w:rtl w:val="0"/>
        </w:rPr>
        <w:t xml:space="preserve"> Se considera operado en la fecha del deceso del causante (herencias), en la fecha de aceptación (donaciones) o en la fecha de celebración del acto en los demás casos.</w:t>
      </w:r>
    </w:p>
    <w:p w:rsidR="00000000" w:rsidDel="00000000" w:rsidP="00000000" w:rsidRDefault="00000000" w:rsidRPr="00000000" w14:paraId="0000003E">
      <w:pPr>
        <w:numPr>
          <w:ilvl w:val="1"/>
          <w:numId w:val="1"/>
        </w:numPr>
        <w:spacing w:after="0" w:afterAutospacing="0" w:before="0" w:beforeAutospacing="0" w:lineRule="auto"/>
        <w:ind w:left="1440" w:hanging="360"/>
      </w:pPr>
      <w:r w:rsidDel="00000000" w:rsidR="00000000" w:rsidRPr="00000000">
        <w:rPr>
          <w:b w:val="1"/>
          <w:bCs w:val="1"/>
          <w:rtl w:val="0"/>
        </w:rPr>
        <w:t xml:space="preserve">Montos Exentos (Ejercicio 2024 - Ley 15.479):</w:t>
      </w:r>
      <w:r w:rsidDel="00000000" w:rsidR="00000000" w:rsidRPr="00000000">
        <w:rPr>
          <w:rtl w:val="0"/>
        </w:rPr>
        <w:t xml:space="preserve"> El tributo no corresponde cuando el enriquecimiento patrimonial no supera los siguientes montos:</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b w:val="1"/>
          <w:bCs w:val="1"/>
          <w:rtl w:val="0"/>
        </w:rPr>
        <w:t xml:space="preserve">$8.488.486</w:t>
      </w:r>
      <w:r w:rsidDel="00000000" w:rsidR="00000000" w:rsidRPr="00000000">
        <w:rPr>
          <w:rtl w:val="0"/>
        </w:rPr>
        <w:t xml:space="preserve"> si los beneficiarios son progenitores, hijos/as o cónyuge.</w:t>
      </w:r>
    </w:p>
    <w:p w:rsidR="00000000" w:rsidDel="00000000" w:rsidP="00000000" w:rsidRDefault="00000000" w:rsidRPr="00000000" w14:paraId="00000040">
      <w:pPr>
        <w:numPr>
          <w:ilvl w:val="2"/>
          <w:numId w:val="1"/>
        </w:numPr>
        <w:spacing w:after="240" w:before="0" w:beforeAutospacing="0" w:lineRule="auto"/>
        <w:ind w:left="2160" w:hanging="360"/>
      </w:pPr>
      <w:r w:rsidDel="00000000" w:rsidR="00000000" w:rsidRPr="00000000">
        <w:rPr>
          <w:b w:val="1"/>
          <w:bCs w:val="1"/>
          <w:rtl w:val="0"/>
        </w:rPr>
        <w:t xml:space="preserve">$2.038.752</w:t>
      </w:r>
      <w:r w:rsidDel="00000000" w:rsidR="00000000" w:rsidRPr="00000000">
        <w:rPr>
          <w:rtl w:val="0"/>
        </w:rPr>
        <w:t xml:space="preserve"> en los demás casos de parentesco o para extraños.</w:t>
      </w:r>
    </w:p>
    <w:p w:rsidR="00000000" w:rsidDel="00000000" w:rsidP="00000000" w:rsidRDefault="00000000" w:rsidRPr="00000000" w14:paraId="00000041">
      <w:pPr>
        <w:spacing w:after="240" w:before="240" w:lineRule="auto"/>
        <w:rPr/>
      </w:pPr>
      <w:r w:rsidDel="00000000" w:rsidR="00000000" w:rsidRPr="00000000">
        <w:rPr>
          <w:rtl w:val="0"/>
        </w:rPr>
        <w:t xml:space="preserve">Para finalizar, se ofrece una aclaración sobre temas específicos solicitados en la directiva que no se encuentran desarrollados en la información fuente.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mqk1j5wp9nr8" w:id="12"/>
      <w:bookmarkEnd w:id="12"/>
      <w:r w:rsidDel="00000000" w:rsidR="00000000" w:rsidRPr="00000000">
        <w:rPr>
          <w:b w:val="1"/>
          <w:bCs w:val="1"/>
          <w:sz w:val="34"/>
          <w:szCs w:val="34"/>
          <w:rtl w:val="0"/>
        </w:rPr>
        <w:t xml:space="preserve">6.0 Aclaración sobre Materias No Contenidas en la Fuente</w:t>
      </w:r>
    </w:p>
    <w:p w:rsidR="00000000" w:rsidDel="00000000" w:rsidP="00000000" w:rsidRDefault="00000000" w:rsidRPr="00000000" w14:paraId="00000043">
      <w:pPr>
        <w:spacing w:after="240" w:before="240" w:lineRule="auto"/>
        <w:rPr/>
      </w:pPr>
      <w:r w:rsidDel="00000000" w:rsidR="00000000" w:rsidRPr="00000000">
        <w:rPr>
          <w:rtl w:val="0"/>
        </w:rPr>
        <w:t xml:space="preserve">En estricto cumplimiento con el mandato de utilizar exclusivamente la información proporcionada en el contexto fuente, es necesario señalar que ciertos temas específicos solicitados en la directiva para la elaboración de este documento no se encuentran desarrollados, mencionados ni analizados en dicho material. La omisión de estos puntos responde directamente a la ausencia de datos de origen para su tratamiento.</w:t>
      </w:r>
    </w:p>
    <w:p w:rsidR="00000000" w:rsidDel="00000000" w:rsidP="00000000" w:rsidRDefault="00000000" w:rsidRPr="00000000" w14:paraId="00000044">
      <w:pPr>
        <w:spacing w:after="240" w:before="240" w:lineRule="auto"/>
        <w:rPr/>
      </w:pPr>
      <w:r w:rsidDel="00000000" w:rsidR="00000000" w:rsidRPr="00000000">
        <w:rPr>
          <w:rtl w:val="0"/>
        </w:rPr>
        <w:t xml:space="preserve">A continuación, se detallan las materias no contenidas en la fuente:</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Aportes a la Caja de Seguridad Social (Ley 6983):</w:t>
      </w:r>
      <w:r w:rsidDel="00000000" w:rsidR="00000000" w:rsidRPr="00000000">
        <w:rPr>
          <w:rtl w:val="0"/>
        </w:rPr>
        <w:t xml:space="preserve"> El texto proporcionado no contiene ninguna mención, análisis o desglose de los aportes previsionales aplicables a la transmisión de dominio fiduciario bajo la Ley 6983. No hay referencias a alícuotas, bases imponibles o procedimientos vinculados a la Caja de Seguridad Social en el contexto de los fideicomisos.</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b w:val="1"/>
          <w:bCs w:val="1"/>
          <w:rtl w:val="0"/>
        </w:rPr>
        <w:t xml:space="preserve">Estructura Detallada y Modelos de Fideicomiso:</w:t>
      </w:r>
      <w:r w:rsidDel="00000000" w:rsidR="00000000" w:rsidRPr="00000000">
        <w:rPr>
          <w:rtl w:val="0"/>
        </w:rPr>
        <w:t xml:space="preserve"> Se reitera que, si bien la fuente confirma la obligación de reportar la "Constitución de Fideicomisos" a la UIF, no provee la información necesaria para elaborar una guía sobre los aspectos estructurales de esta figura jurídica. El material de origen carece de contenido sobre las partes intervinientes, la composición del patrimonio fiduciario, los distintos modelos de fideicomiso, sus carátulas o los procesos de creación y análisis jurídico-notarial.</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9s8edie2w1md" w:id="13"/>
      <w:bookmarkEnd w:id="13"/>
      <w:r w:rsidDel="00000000" w:rsidR="00000000" w:rsidRPr="00000000">
        <w:rPr>
          <w:b w:val="1"/>
          <w:bCs w:val="1"/>
          <w:sz w:val="34"/>
          <w:szCs w:val="34"/>
          <w:rtl w:val="0"/>
        </w:rPr>
        <w:t xml:space="preserve">7.0 Conclusión: La Importancia de la Actualización Continua</w:t>
      </w:r>
    </w:p>
    <w:p w:rsidR="00000000" w:rsidDel="00000000" w:rsidP="00000000" w:rsidRDefault="00000000" w:rsidRPr="00000000" w14:paraId="00000048">
      <w:pPr>
        <w:spacing w:after="240" w:before="240" w:lineRule="auto"/>
        <w:rPr/>
      </w:pPr>
      <w:r w:rsidDel="00000000" w:rsidR="00000000" w:rsidRPr="00000000">
        <w:rPr>
          <w:rtl w:val="0"/>
        </w:rPr>
        <w:t xml:space="preserve">Este informe ha desglosado las obligaciones más relevantes que enfrenta el notariado argentino en materia de reportes a la UIF, cumplimiento tributario y procedimientos registrales, con un enfoque particular en la figura del fideicomiso. El análisis evidencia que el cumplimiento notarial es un campo en constante y rápida evolución, marcado por frecuentes actualizaciones de umbrales monetarios, la derogación de regímenes informativos tradicionales y la emisión de nuevas resoluciones que redefinen las responsabilidades del escribano. La dinámica regulatoria exige un compromiso proactivo con la formación. Por ello, es imperativo que el agente se mantenga en un estado de capacitación y actualización permanente para ejercer su delicada función con la máxima seguridad jurídica, mitigar eficazmente los riesgos operativos y sancionatorios, y consolidar su rol como custodio indispensable de la legalidad y la transparencia en el tráfico jurídico.</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a5aivu4q2hca" w:id="14"/>
      <w:bookmarkEnd w:id="14"/>
      <w:r w:rsidDel="00000000" w:rsidR="00000000" w:rsidRPr="00000000">
        <w:rPr>
          <w:b w:val="1"/>
          <w:bCs w:val="1"/>
          <w:sz w:val="46"/>
          <w:szCs w:val="46"/>
          <w:rtl w:val="0"/>
        </w:rPr>
        <w:t xml:space="preserve">Guía de Calificación Registral para Operaciones Inmobiliarias con Implicancias Fiduciarias en la Provincia de Buenos Aires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2qrrq6msff1" w:id="15"/>
      <w:bookmarkEnd w:id="15"/>
      <w:r w:rsidDel="00000000" w:rsidR="00000000" w:rsidRPr="00000000">
        <w:rPr>
          <w:b w:val="1"/>
          <w:bCs w:val="1"/>
          <w:sz w:val="34"/>
          <w:szCs w:val="34"/>
          <w:rtl w:val="0"/>
        </w:rPr>
        <w:t xml:space="preserve">1.0 Introducción al Marco Registral de Fideicomisos Inmobiliarios</w:t>
      </w:r>
    </w:p>
    <w:p w:rsidR="00000000" w:rsidDel="00000000" w:rsidP="00000000" w:rsidRDefault="00000000" w:rsidRPr="00000000" w14:paraId="0000004D">
      <w:pPr>
        <w:spacing w:after="240" w:before="240" w:lineRule="auto"/>
        <w:rPr/>
      </w:pPr>
      <w:r w:rsidDel="00000000" w:rsidR="00000000" w:rsidRPr="00000000">
        <w:rPr>
          <w:rtl w:val="0"/>
        </w:rPr>
        <w:t xml:space="preserve">En el ámbito de las transacciones inmobiliarias en la Provincia de Buenos Aires, la figura del fideicomiso se ha consolidado como un vehículo jurídico de gran relevancia. La correcta instrumentación y registración de estas operaciones es fundamental para la protección de los derechos de todas las partes involucradas. En este contexto, una meticulosa </w:t>
      </w:r>
      <w:r w:rsidDel="00000000" w:rsidR="00000000" w:rsidRPr="00000000">
        <w:rPr>
          <w:b w:val="1"/>
          <w:bCs w:val="1"/>
          <w:rtl w:val="0"/>
        </w:rPr>
        <w:t xml:space="preserve">calificación registral</w:t>
      </w:r>
      <w:r w:rsidDel="00000000" w:rsidR="00000000" w:rsidRPr="00000000">
        <w:rPr>
          <w:rtl w:val="0"/>
        </w:rPr>
        <w:t xml:space="preserve"> adquiere una importancia estratégica, ya que garantiza que los actos documentados cumplan con todos los recaudos legales y formales exigidos. La adhesión estricta a los procedimientos y la correcta confección de la documentación notarial son los pilares que sustentan la </w:t>
      </w:r>
      <w:r w:rsidDel="00000000" w:rsidR="00000000" w:rsidRPr="00000000">
        <w:rPr>
          <w:b w:val="1"/>
          <w:bCs w:val="1"/>
          <w:rtl w:val="0"/>
        </w:rPr>
        <w:t xml:space="preserve">seguridad jurídica</w:t>
      </w:r>
      <w:r w:rsidDel="00000000" w:rsidR="00000000" w:rsidRPr="00000000">
        <w:rPr>
          <w:rtl w:val="0"/>
        </w:rPr>
        <w:t xml:space="preserve"> en el tráfico inmobiliario provincial. Este análisis se centrará en detallar los requisitos específicos para la correcta inscripción del dominio fiduciario en el Registro de la Propiedad.</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brq9rml9lary" w:id="16"/>
      <w:bookmarkEnd w:id="16"/>
      <w:r w:rsidDel="00000000" w:rsidR="00000000" w:rsidRPr="00000000">
        <w:rPr>
          <w:b w:val="1"/>
          <w:bCs w:val="1"/>
          <w:sz w:val="34"/>
          <w:szCs w:val="34"/>
          <w:rtl w:val="0"/>
        </w:rPr>
        <w:t xml:space="preserve">2.0 Inscripción del Dominio Fiduciario (Acto 108) a través de un Acto de Compraventa</w:t>
      </w:r>
    </w:p>
    <w:p w:rsidR="00000000" w:rsidDel="00000000" w:rsidP="00000000" w:rsidRDefault="00000000" w:rsidRPr="00000000" w14:paraId="0000004F">
      <w:pPr>
        <w:spacing w:after="240" w:before="240" w:lineRule="auto"/>
        <w:rPr/>
      </w:pPr>
      <w:r w:rsidDel="00000000" w:rsidR="00000000" w:rsidRPr="00000000">
        <w:rPr>
          <w:rtl w:val="0"/>
        </w:rPr>
        <w:t xml:space="preserve">El contrato de compraventa (Código de Acto 100) es frecuentemente el negocio jurídico subyacente que sirve como título para la transmisión de un inmueble a un patrimonio fiduciario, dando origen a la inscripción de un dominio fiduciario (Acto 108). Desde la perspectiva del calificador registral, el análisis se rige estrictamente por el </w:t>
      </w:r>
      <w:r w:rsidDel="00000000" w:rsidR="00000000" w:rsidRPr="00000000">
        <w:rPr>
          <w:b w:val="1"/>
          <w:bCs w:val="1"/>
          <w:rtl w:val="0"/>
        </w:rPr>
        <w:t xml:space="preserve">principio de rogación</w:t>
      </w:r>
      <w:r w:rsidDel="00000000" w:rsidR="00000000" w:rsidRPr="00000000">
        <w:rPr>
          <w:rtl w:val="0"/>
        </w:rPr>
        <w:t xml:space="preserve">. Esto significa que, si bien el cuerpo de la escritura puede detallar la naturaleza de la operación, para el Registro de la Propiedad, el carácter fiduciario del dominio solo existe si es expresamente rogado en los documentos presentados, particularmente en la minuta. Por tanto, es un error crítico suponer que las declaraciones contenidas en el instrumento son suficientes por sí mismas; la clave para una inscripción exitosa reside en la correcta exteriorización de dicha voluntad en la rogación dirigida al Registro, para así reflejar con precisión la naturaleza imperfecta del dominio que se inscribe.</w:t>
      </w:r>
    </w:p>
    <w:p w:rsidR="00000000" w:rsidDel="00000000" w:rsidP="00000000" w:rsidRDefault="00000000" w:rsidRPr="00000000" w14:paraId="00000050">
      <w:pPr>
        <w:spacing w:after="240" w:before="240" w:lineRule="auto"/>
        <w:rPr/>
      </w:pPr>
      <w:r w:rsidDel="00000000" w:rsidR="00000000" w:rsidRPr="00000000">
        <w:rPr>
          <w:rtl w:val="0"/>
        </w:rPr>
        <w:t xml:space="preserve">Con base en la normativa registral, los requisitos procedimentales para inscribir una propiedad adquirida con fondos fiduciarios mediante una compraventa son los siguientes: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b w:val="1"/>
          <w:bCs w:val="1"/>
          <w:rtl w:val="0"/>
        </w:rPr>
        <w:t xml:space="preserve">Especie de Derecho:</w:t>
      </w:r>
      <w:r w:rsidDel="00000000" w:rsidR="00000000" w:rsidRPr="00000000">
        <w:rPr>
          <w:rtl w:val="0"/>
        </w:rPr>
        <w:t xml:space="preserve"> El acto se inscribe primariamente como </w:t>
      </w:r>
      <w:r w:rsidDel="00000000" w:rsidR="00000000" w:rsidRPr="00000000">
        <w:rPr>
          <w:b w:val="1"/>
          <w:bCs w:val="1"/>
          <w:rtl w:val="0"/>
        </w:rPr>
        <w:t xml:space="preserve">"compraventa"</w:t>
      </w:r>
      <w:r w:rsidDel="00000000" w:rsidR="00000000" w:rsidRPr="00000000">
        <w:rPr>
          <w:rtl w:val="0"/>
        </w:rPr>
        <w:t xml:space="preserve"> (Código de Acto 100), siendo este el título que motiva la transmisión del dominio.</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Rogación del Carácter Fiduciario:</w:t>
      </w:r>
      <w:r w:rsidDel="00000000" w:rsidR="00000000" w:rsidRPr="00000000">
        <w:rPr>
          <w:rtl w:val="0"/>
        </w:rPr>
        <w:t xml:space="preserve"> Si bien en el cuerpo de la escritura el adquirente debe declarar que la adquisición se realiza con fondos fiduciarios, lo determinante para el calificador es que esta circunstancia se refleje de manera explícita en la minuta rogatoria.</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bCs w:val="1"/>
          <w:rtl w:val="0"/>
        </w:rPr>
        <w:t xml:space="preserve">Rol del Rubro "Observaciones":</w:t>
      </w:r>
      <w:r w:rsidDel="00000000" w:rsidR="00000000" w:rsidRPr="00000000">
        <w:rPr>
          <w:rtl w:val="0"/>
        </w:rPr>
        <w:t xml:space="preserve"> La minuta rogatoria, en su rubro </w:t>
      </w:r>
      <w:r w:rsidDel="00000000" w:rsidR="00000000" w:rsidRPr="00000000">
        <w:rPr>
          <w:b w:val="1"/>
          <w:bCs w:val="1"/>
          <w:rtl w:val="0"/>
        </w:rPr>
        <w:t xml:space="preserve">"observaciones"</w:t>
      </w:r>
      <w:r w:rsidDel="00000000" w:rsidR="00000000" w:rsidRPr="00000000">
        <w:rPr>
          <w:rtl w:val="0"/>
        </w:rPr>
        <w:t xml:space="preserve">, es el único espacio designado para consignar toda la información relativa al carácter fiduciario del dominio. Desde la óptica registral, una omisión o una declaración incompleta en este campo equivale a la inexistencia de la condición fiduciaria.</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bCs w:val="1"/>
          <w:rtl w:val="0"/>
        </w:rPr>
        <w:t xml:space="preserve">Leyenda Registral Obligatoria:</w:t>
      </w:r>
      <w:r w:rsidDel="00000000" w:rsidR="00000000" w:rsidRPr="00000000">
        <w:rPr>
          <w:rtl w:val="0"/>
        </w:rPr>
        <w:t xml:space="preserve"> El asiento registral debe incluir de manera obligatoria la leyenda: </w:t>
      </w:r>
      <w:r w:rsidDel="00000000" w:rsidR="00000000" w:rsidRPr="00000000">
        <w:rPr>
          <w:rFonts w:ascii="Roboto Mono" w:cs="Roboto Mono" w:eastAsia="Roboto Mono" w:hAnsi="Roboto Mono"/>
          <w:color w:val="188038"/>
          <w:rtl w:val="0"/>
        </w:rPr>
        <w:t xml:space="preserve">"ADQUIERE EL DOMINIO FIDUCIARIO"</w:t>
      </w:r>
      <w:r w:rsidDel="00000000" w:rsidR="00000000" w:rsidRPr="00000000">
        <w:rPr>
          <w:rtl w:val="0"/>
        </w:rPr>
        <w:t xml:space="preserve">. Esta frase es la que otorga publicidad registral a la naturaleza especial del dominio.</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b w:val="1"/>
          <w:bCs w:val="1"/>
          <w:rtl w:val="0"/>
        </w:rPr>
        <w:t xml:space="preserve">Detalle del Contrato Fiduciario:</w:t>
      </w:r>
      <w:r w:rsidDel="00000000" w:rsidR="00000000" w:rsidRPr="00000000">
        <w:rPr>
          <w:rtl w:val="0"/>
        </w:rPr>
        <w:t xml:space="preserve"> En el mismo asiento, se deben detallar las características principales del contrato de fideicomiso que limitan el dominio, tales como el </w:t>
      </w:r>
      <w:r w:rsidDel="00000000" w:rsidR="00000000" w:rsidRPr="00000000">
        <w:rPr>
          <w:b w:val="1"/>
          <w:bCs w:val="1"/>
          <w:rtl w:val="0"/>
        </w:rPr>
        <w:t xml:space="preserve">plazo</w:t>
      </w:r>
      <w:r w:rsidDel="00000000" w:rsidR="00000000" w:rsidRPr="00000000">
        <w:rPr>
          <w:rtl w:val="0"/>
        </w:rPr>
        <w:t xml:space="preserve"> de duración, las </w:t>
      </w:r>
      <w:r w:rsidDel="00000000" w:rsidR="00000000" w:rsidRPr="00000000">
        <w:rPr>
          <w:b w:val="1"/>
          <w:bCs w:val="1"/>
          <w:rtl w:val="0"/>
        </w:rPr>
        <w:t xml:space="preserve">condiciones</w:t>
      </w:r>
      <w:r w:rsidDel="00000000" w:rsidR="00000000" w:rsidRPr="00000000">
        <w:rPr>
          <w:rtl w:val="0"/>
        </w:rPr>
        <w:t xml:space="preserve"> resolutorias y cualquier </w:t>
      </w:r>
      <w:r w:rsidDel="00000000" w:rsidR="00000000" w:rsidRPr="00000000">
        <w:rPr>
          <w:b w:val="1"/>
          <w:bCs w:val="1"/>
          <w:rtl w:val="0"/>
        </w:rPr>
        <w:t xml:space="preserve">prohibición</w:t>
      </w:r>
      <w:r w:rsidDel="00000000" w:rsidR="00000000" w:rsidRPr="00000000">
        <w:rPr>
          <w:rtl w:val="0"/>
        </w:rPr>
        <w:t xml:space="preserve"> de disponer que se haya estipulado.</w:t>
      </w:r>
    </w:p>
    <w:p w:rsidR="00000000" w:rsidDel="00000000" w:rsidP="00000000" w:rsidRDefault="00000000" w:rsidRPr="00000000" w14:paraId="00000056">
      <w:pPr>
        <w:spacing w:after="240" w:before="240" w:lineRule="auto"/>
        <w:rPr/>
      </w:pPr>
      <w:r w:rsidDel="00000000" w:rsidR="00000000" w:rsidRPr="00000000">
        <w:rPr>
          <w:rtl w:val="0"/>
        </w:rPr>
        <w:t xml:space="preserve">"En este supuesto, la especie de derecho es compraventa, por lo tanto, todo lo que se refiera al carácter de dominio Fiduciario va a surgir de lo consignado en el rubro observaciones de las minutas rogatorias."</w:t>
      </w:r>
    </w:p>
    <w:p w:rsidR="00000000" w:rsidDel="00000000" w:rsidP="00000000" w:rsidRDefault="00000000" w:rsidRPr="00000000" w14:paraId="00000057">
      <w:pPr>
        <w:spacing w:after="240" w:before="240" w:lineRule="auto"/>
        <w:rPr/>
      </w:pPr>
      <w:r w:rsidDel="00000000" w:rsidR="00000000" w:rsidRPr="00000000">
        <w:rPr>
          <w:rtl w:val="0"/>
        </w:rPr>
        <w:t xml:space="preserve">Una vez asegurada la correcta rogación del carácter fiduciario, la calificación del notario debe extenderse al cumplimiento de las normativas de orden público, como aquellas destinadas a la prevención del lavado de activos.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mfzc6j682lqz" w:id="17"/>
      <w:bookmarkEnd w:id="17"/>
      <w:r w:rsidDel="00000000" w:rsidR="00000000" w:rsidRPr="00000000">
        <w:rPr>
          <w:b w:val="1"/>
          <w:bCs w:val="1"/>
          <w:sz w:val="34"/>
          <w:szCs w:val="34"/>
          <w:rtl w:val="0"/>
        </w:rPr>
        <w:t xml:space="preserve">3.0 Consideraciones de Compliance ante la UIF en la Instrumentación</w:t>
      </w:r>
    </w:p>
    <w:p w:rsidR="00000000" w:rsidDel="00000000" w:rsidP="00000000" w:rsidRDefault="00000000" w:rsidRPr="00000000" w14:paraId="00000059">
      <w:pPr>
        <w:spacing w:after="240" w:before="240" w:lineRule="auto"/>
        <w:rPr/>
      </w:pPr>
      <w:r w:rsidDel="00000000" w:rsidR="00000000" w:rsidRPr="00000000">
        <w:rPr>
          <w:rtl w:val="0"/>
        </w:rPr>
        <w:t xml:space="preserve">La actuación notarial está sujeta a un riguroso marco de cumplimiento de normativas de prevención de lavado de activos, lo que impone al escribano un rol de sujeto obligado ante la Unidad de Información Financiera (UIF). El incumplimiento de los requisitos de información no solo constituye una falta administrativa, sino que compromete directamente la responsabilidad profesional del notario y puede derivar en observaciones registrales que impidan la inscripción definitiva del acto. La omisión de datos clave, como la clave fiscal de un representante, es una causal directa de observación por parte del Registro y de potenciales sanciones por parte de la UIF, impactando la seguridad jurídica de la operación.</w:t>
      </w:r>
    </w:p>
    <w:p w:rsidR="00000000" w:rsidDel="00000000" w:rsidP="00000000" w:rsidRDefault="00000000" w:rsidRPr="00000000" w14:paraId="0000005A">
      <w:pPr>
        <w:spacing w:after="240" w:before="240" w:lineRule="auto"/>
        <w:rPr/>
      </w:pPr>
      <w:r w:rsidDel="00000000" w:rsidR="00000000" w:rsidRPr="00000000">
        <w:rPr>
          <w:rtl w:val="0"/>
        </w:rPr>
        <w:t xml:space="preserve">En los casos en que una de las partes actúa a través de un representante legal o apoderado, ya sea de una persona humana o jurídica, existe un dato de carácter obligatorio para la debida información a los organismos de control.</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Requerimiento:</w:t>
      </w:r>
      <w:r w:rsidDel="00000000" w:rsidR="00000000" w:rsidRPr="00000000">
        <w:rPr>
          <w:rtl w:val="0"/>
        </w:rPr>
        <w:t xml:space="preserve"> En el rubro </w:t>
      </w:r>
      <w:r w:rsidDel="00000000" w:rsidR="00000000" w:rsidRPr="00000000">
        <w:rPr>
          <w:b w:val="1"/>
          <w:bCs w:val="1"/>
          <w:rtl w:val="0"/>
        </w:rPr>
        <w:t xml:space="preserve">"Representaciones"</w:t>
      </w:r>
      <w:r w:rsidDel="00000000" w:rsidR="00000000" w:rsidRPr="00000000">
        <w:rPr>
          <w:rtl w:val="0"/>
        </w:rPr>
        <w:t xml:space="preserve"> de la minuta rogatoria, es mandatorio consignar la Clave Única de Identificación Tributaria (CUIT), el Código Único de Identificación Laboral (CUIL) o la Clave de Identificación (CDI) de la persona que ejerce la representación. Este dato es el que se informa a la UIF, asegurando la trazabilidad de los intervinientes en la operación.</w:t>
      </w:r>
    </w:p>
    <w:p w:rsidR="00000000" w:rsidDel="00000000" w:rsidP="00000000" w:rsidRDefault="00000000" w:rsidRPr="00000000" w14:paraId="0000005C">
      <w:pPr>
        <w:spacing w:after="240" w:before="240" w:lineRule="auto"/>
        <w:rPr/>
      </w:pPr>
      <w:r w:rsidDel="00000000" w:rsidR="00000000" w:rsidRPr="00000000">
        <w:rPr>
          <w:rtl w:val="0"/>
        </w:rPr>
        <w:t xml:space="preserve">Este requisito de compliance es un microcosmos del riguroso ecosistema procedimental que el Colegio de Escribanos provee, un andamiaje administrativo diseñado para asegurar la integridad de cada acto, desde la gestión de insumos hasta su archivo definitivo.</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a1k1uvlx2srb" w:id="18"/>
      <w:bookmarkEnd w:id="18"/>
      <w:r w:rsidDel="00000000" w:rsidR="00000000" w:rsidRPr="00000000">
        <w:rPr>
          <w:b w:val="1"/>
          <w:bCs w:val="1"/>
          <w:sz w:val="34"/>
          <w:szCs w:val="34"/>
          <w:rtl w:val="0"/>
        </w:rPr>
        <w:t xml:space="preserve">4.0 El Marco Administrativo del Colegio de Escribanos como Soporte de la Actuación Notarial</w:t>
      </w:r>
    </w:p>
    <w:p w:rsidR="00000000" w:rsidDel="00000000" w:rsidP="00000000" w:rsidRDefault="00000000" w:rsidRPr="00000000" w14:paraId="0000005E">
      <w:pPr>
        <w:spacing w:after="240" w:before="240" w:lineRule="auto"/>
        <w:rPr/>
      </w:pPr>
      <w:r w:rsidDel="00000000" w:rsidR="00000000" w:rsidRPr="00000000">
        <w:rPr>
          <w:rtl w:val="0"/>
        </w:rPr>
        <w:t xml:space="preserve">La validez y seguridad de operaciones inmobiliarias complejas, incluidas aquellas con implicancias fiduciarias, no dependen únicamente de la correcta redacción del instrumento público. Se sostienen sobre un robusto andamiaje de procesos administrativos gestionados por el Colegio de Escribanos de la Provincia de Buenos Aires, diseñados para mitigar riesgos y garantizar la integridad, trazabilidad y control de la documentación notarial. A continuación, se detallan los pilares operativos que aseguran la fiabilidad de los actos notariales en las delegaciones del Colegio.</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3zdb888d4x76" w:id="19"/>
      <w:bookmarkEnd w:id="19"/>
      <w:r w:rsidDel="00000000" w:rsidR="00000000" w:rsidRPr="00000000">
        <w:rPr>
          <w:b w:val="1"/>
          <w:bCs w:val="1"/>
          <w:color w:val="000000"/>
          <w:sz w:val="26"/>
          <w:szCs w:val="26"/>
          <w:rtl w:val="0"/>
        </w:rPr>
        <w:t xml:space="preserve">4.1 Gestión y Control de Folios y Protocolos</w:t>
      </w:r>
    </w:p>
    <w:p w:rsidR="00000000" w:rsidDel="00000000" w:rsidP="00000000" w:rsidRDefault="00000000" w:rsidRPr="00000000" w14:paraId="00000060">
      <w:pPr>
        <w:spacing w:after="240" w:before="240" w:lineRule="auto"/>
        <w:rPr/>
      </w:pPr>
      <w:r w:rsidDel="00000000" w:rsidR="00000000" w:rsidRPr="00000000">
        <w:rPr>
          <w:rtl w:val="0"/>
        </w:rPr>
        <w:t xml:space="preserve">Un control estricto sobre los insumos notariales es la primera línea de defensa para la seguridad jurídica, esencial para prevenir la introducción de documentos apócrifos en el sistema. El procedimiento abarca la recepción, el control de stock y la baja de folios oficiales, como los </w:t>
      </w:r>
      <w:r w:rsidDel="00000000" w:rsidR="00000000" w:rsidRPr="00000000">
        <w:rPr>
          <w:b w:val="1"/>
          <w:bCs w:val="1"/>
          <w:rtl w:val="0"/>
        </w:rPr>
        <w:t xml:space="preserve">Folios Ley 9.020</w:t>
      </w:r>
      <w:r w:rsidDel="00000000" w:rsidR="00000000" w:rsidRPr="00000000">
        <w:rPr>
          <w:rtl w:val="0"/>
        </w:rPr>
        <w:t xml:space="preserve"> y los </w:t>
      </w:r>
      <w:r w:rsidDel="00000000" w:rsidR="00000000" w:rsidRPr="00000000">
        <w:rPr>
          <w:b w:val="1"/>
          <w:bCs w:val="1"/>
          <w:rtl w:val="0"/>
        </w:rPr>
        <w:t xml:space="preserve">Folios de Seguridad</w:t>
      </w:r>
      <w:r w:rsidDel="00000000" w:rsidR="00000000" w:rsidRPr="00000000">
        <w:rPr>
          <w:rtl w:val="0"/>
        </w:rPr>
        <w:t xml:space="preserve">. La baja administrativa se produce por diversas causas (faltantes, hurto, extravío, inutilización o baja del notario) y consiste en retirar los folios del inventario activo, remitiéndolos a la sede central para su posterior destrucción. Este sistema de control de inventario asegura la cadena de custodia de los soportes documentales, y su verificación periódica queda formalizada mediante un </w:t>
      </w:r>
      <w:r w:rsidDel="00000000" w:rsidR="00000000" w:rsidRPr="00000000">
        <w:rPr>
          <w:b w:val="1"/>
          <w:bCs w:val="1"/>
          <w:rtl w:val="0"/>
        </w:rPr>
        <w:t xml:space="preserve">"Acta de verificación de folios"</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9f4wga6boaxs" w:id="20"/>
      <w:bookmarkEnd w:id="20"/>
      <w:r w:rsidDel="00000000" w:rsidR="00000000" w:rsidRPr="00000000">
        <w:rPr>
          <w:b w:val="1"/>
          <w:bCs w:val="1"/>
          <w:color w:val="000000"/>
          <w:sz w:val="26"/>
          <w:szCs w:val="26"/>
          <w:rtl w:val="0"/>
        </w:rPr>
        <w:t xml:space="preserve">4.2 Proceso Sistemático de Legalizaciones</w:t>
      </w:r>
    </w:p>
    <w:p w:rsidR="00000000" w:rsidDel="00000000" w:rsidP="00000000" w:rsidRDefault="00000000" w:rsidRPr="00000000" w14:paraId="00000062">
      <w:pPr>
        <w:spacing w:after="240" w:before="240" w:lineRule="auto"/>
        <w:rPr/>
      </w:pPr>
      <w:r w:rsidDel="00000000" w:rsidR="00000000" w:rsidRPr="00000000">
        <w:rPr>
          <w:rtl w:val="0"/>
        </w:rPr>
        <w:t xml:space="preserve">La legalización de un documento notarial certifica la autenticidad de la firma y el carácter del funcionario autorizante. El proceso estandarizado es lo que garantiza que un documento notarial expedido en una demarcación sea aceptado sin cuestionamientos en otra, asegurando su uniformidad y fiabilidad a través de los siguientes pasos: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b w:val="1"/>
          <w:bCs w:val="1"/>
          <w:rtl w:val="0"/>
        </w:rPr>
        <w:t xml:space="preserve">Registro de la Legalización en el sistema:</w:t>
      </w:r>
      <w:r w:rsidDel="00000000" w:rsidR="00000000" w:rsidRPr="00000000">
        <w:rPr>
          <w:rtl w:val="0"/>
        </w:rPr>
        <w:t xml:space="preserve"> Se ingresan los datos del sello, folio y estampilla a utilizar, vinculándolos con el acto y el escribano firmante.</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b w:val="1"/>
          <w:bCs w:val="1"/>
          <w:rtl w:val="0"/>
        </w:rPr>
        <w:t xml:space="preserve">Firma y Control por parte del Notario Legalizante:</w:t>
      </w:r>
      <w:r w:rsidDel="00000000" w:rsidR="00000000" w:rsidRPr="00000000">
        <w:rPr>
          <w:rtl w:val="0"/>
        </w:rPr>
        <w:t xml:space="preserve"> El notario designado controla la "procedencia de la legalización de acuerdo a su investidura", firma y sella los documentos.</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b w:val="1"/>
          <w:bCs w:val="1"/>
          <w:rtl w:val="0"/>
        </w:rPr>
        <w:t xml:space="preserve">Control final y manejo de rechazos (anulación):</w:t>
      </w:r>
      <w:r w:rsidDel="00000000" w:rsidR="00000000" w:rsidRPr="00000000">
        <w:rPr>
          <w:rtl w:val="0"/>
        </w:rPr>
        <w:t xml:space="preserve"> El personal administrativo verifica la firma y sellos. Si un trámite es rechazado, el sello de legalización es cruzado con la leyenda "ANULADO" y el sello de atestación con la leyenda "ERROSE", anulándose en el sistema.</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b w:val="1"/>
          <w:bCs w:val="1"/>
          <w:rtl w:val="0"/>
        </w:rPr>
        <w:t xml:space="preserve">Entrega de la documentación al solicitante:</w:t>
      </w:r>
      <w:r w:rsidDel="00000000" w:rsidR="00000000" w:rsidRPr="00000000">
        <w:rPr>
          <w:rtl w:val="0"/>
        </w:rPr>
        <w:t xml:space="preserve"> La documentación se entrega contra la presentación del talón de trámite y la factura correspondiente.</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b w:val="1"/>
          <w:bCs w:val="1"/>
          <w:rtl w:val="0"/>
        </w:rPr>
        <w:t xml:space="preserve">Baja y control de sellos anulados:</w:t>
      </w:r>
      <w:r w:rsidDel="00000000" w:rsidR="00000000" w:rsidRPr="00000000">
        <w:rPr>
          <w:rtl w:val="0"/>
        </w:rPr>
        <w:t xml:space="preserve"> Los sellos anulados son dados de baja diariamente y remitidos a la sede central para su control.</w:t>
      </w:r>
    </w:p>
    <w:p w:rsidR="00000000" w:rsidDel="00000000" w:rsidP="00000000" w:rsidRDefault="00000000" w:rsidRPr="00000000" w14:paraId="00000068">
      <w:pPr>
        <w:spacing w:after="240" w:before="240" w:lineRule="auto"/>
        <w:rPr/>
      </w:pPr>
      <w:r w:rsidDel="00000000" w:rsidR="00000000" w:rsidRPr="00000000">
        <w:rPr>
          <w:rtl w:val="0"/>
        </w:rPr>
        <w:t xml:space="preserve">La utilización de un </w:t>
      </w:r>
      <w:r w:rsidDel="00000000" w:rsidR="00000000" w:rsidRPr="00000000">
        <w:rPr>
          <w:b w:val="1"/>
          <w:bCs w:val="1"/>
          <w:rtl w:val="0"/>
        </w:rPr>
        <w:t xml:space="preserve">"Formulario de rechazo de legalizaciones"</w:t>
      </w:r>
      <w:r w:rsidDel="00000000" w:rsidR="00000000" w:rsidRPr="00000000">
        <w:rPr>
          <w:rtl w:val="0"/>
        </w:rPr>
        <w:t xml:space="preserve"> estandarizado asegura que cualquier denegación del servicio quede debidamente fundamentada, aportando total transparencia al proceso.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vv28zy4qbuo" w:id="21"/>
      <w:bookmarkEnd w:id="21"/>
      <w:r w:rsidDel="00000000" w:rsidR="00000000" w:rsidRPr="00000000">
        <w:rPr>
          <w:b w:val="1"/>
          <w:bCs w:val="1"/>
          <w:color w:val="000000"/>
          <w:sz w:val="26"/>
          <w:szCs w:val="26"/>
          <w:rtl w:val="0"/>
        </w:rPr>
        <w:t xml:space="preserve">4.3 Interacción con el Archivo de Actuaciones Notariales (AAN)</w:t>
      </w:r>
    </w:p>
    <w:p w:rsidR="00000000" w:rsidDel="00000000" w:rsidP="00000000" w:rsidRDefault="00000000" w:rsidRPr="00000000" w14:paraId="0000006A">
      <w:pPr>
        <w:spacing w:after="240" w:before="240" w:lineRule="auto"/>
        <w:rPr/>
      </w:pPr>
      <w:r w:rsidDel="00000000" w:rsidR="00000000" w:rsidRPr="00000000">
        <w:rPr>
          <w:rtl w:val="0"/>
        </w:rPr>
        <w:t xml:space="preserve">Las delegaciones del Colegio actúan como intermediarias para la gestión de trámites ante el Archivo de Actuaciones Notariales, facilitando el acceso a la consulta y obtención de copias de documentos protocolizados. El procedimiento distingue claramente si el protocolo requerido se encuentra físicamente en la delegación o si, por su antigüedad, ya ha sido remitido al </w:t>
      </w:r>
      <w:r w:rsidDel="00000000" w:rsidR="00000000" w:rsidRPr="00000000">
        <w:rPr>
          <w:b w:val="1"/>
          <w:bCs w:val="1"/>
          <w:rtl w:val="0"/>
        </w:rPr>
        <w:t xml:space="preserve">Archivo de Actuaciones Notariales central en La Plata</w:t>
      </w:r>
      <w:r w:rsidDel="00000000" w:rsidR="00000000" w:rsidRPr="00000000">
        <w:rPr>
          <w:rtl w:val="0"/>
        </w:rPr>
        <w:t xml:space="preserve">, optimizando así la gestión de las solicitudes.</w:t>
      </w:r>
    </w:p>
    <w:p w:rsidR="00000000" w:rsidDel="00000000" w:rsidP="00000000" w:rsidRDefault="00000000" w:rsidRPr="00000000" w14:paraId="0000006B">
      <w:pPr>
        <w:spacing w:after="240" w:before="240" w:lineRule="auto"/>
        <w:rPr/>
      </w:pPr>
      <w:r w:rsidDel="00000000" w:rsidR="00000000" w:rsidRPr="00000000">
        <w:rPr>
          <w:rtl w:val="0"/>
        </w:rPr>
        <w:t xml:space="preserve">En conjunto, estos procesos administrativos conforman un ecosistema de control y soporte que garantiza la fiabilidad y certeza jurídica de todas las transacciones inmobiliarias formalizadas en la provincia.</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xh99kyhs9esf" w:id="22"/>
      <w:bookmarkEnd w:id="22"/>
      <w:r w:rsidDel="00000000" w:rsidR="00000000" w:rsidRPr="00000000">
        <w:rPr>
          <w:b w:val="1"/>
          <w:bCs w:val="1"/>
          <w:sz w:val="34"/>
          <w:szCs w:val="34"/>
          <w:rtl w:val="0"/>
        </w:rPr>
        <w:t xml:space="preserve">5.0 Conclusión: Puntos Críticos para una Registración Exitosa</w:t>
      </w:r>
    </w:p>
    <w:p w:rsidR="00000000" w:rsidDel="00000000" w:rsidP="00000000" w:rsidRDefault="00000000" w:rsidRPr="00000000" w14:paraId="0000006D">
      <w:pPr>
        <w:spacing w:after="240" w:before="240" w:lineRule="auto"/>
        <w:rPr/>
      </w:pPr>
      <w:r w:rsidDel="00000000" w:rsidR="00000000" w:rsidRPr="00000000">
        <w:rPr>
          <w:rtl w:val="0"/>
        </w:rPr>
        <w:t xml:space="preserve">La consecución de una inscripción inobjetable para una compraventa con implicancias fiduciarias no es el resultado de actos aislados, sino de la integración sinérgica de tres pilares fundamentales: una rogación precisa, un cumplimiento normativo riguroso y la adhesión a un soporte administrativo robusto. Estos componentes no son tareas independientes, sino elementos mutuamente reforzantes que convergen en un único objetivo: la seguridad jurídica de la operación. La diligencia del notario en la correcta orquestación de estos tres ejes es lo que garantiza una registración definitiva y sin observaciones.</w:t>
      </w:r>
    </w:p>
    <w:p w:rsidR="00000000" w:rsidDel="00000000" w:rsidP="00000000" w:rsidRDefault="00000000" w:rsidRPr="00000000" w14:paraId="0000006E">
      <w:pPr>
        <w:spacing w:after="240" w:before="240" w:lineRule="auto"/>
        <w:rPr/>
      </w:pPr>
      <w:r w:rsidDel="00000000" w:rsidR="00000000" w:rsidRPr="00000000">
        <w:rPr>
          <w:rtl w:val="0"/>
        </w:rPr>
        <w:t xml:space="preserve">Para ello, es fundamental tener presentes los siguientes puntos críticos:</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Es un error insubsanable omitir o detallar de forma incompleta el carácter fiduciario en el </w:t>
      </w:r>
      <w:r w:rsidDel="00000000" w:rsidR="00000000" w:rsidRPr="00000000">
        <w:rPr>
          <w:b w:val="1"/>
          <w:bCs w:val="1"/>
          <w:rtl w:val="0"/>
        </w:rPr>
        <w:t xml:space="preserve">rubro "observaciones"</w:t>
      </w:r>
      <w:r w:rsidDel="00000000" w:rsidR="00000000" w:rsidRPr="00000000">
        <w:rPr>
          <w:rtl w:val="0"/>
        </w:rPr>
        <w:t xml:space="preserve"> de la minuta rogatoria. Este campo es la única fuente de información que el calificador registral utilizará para asentar el plazo, condiciones y prohibiciones del fideicomiso.</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El cumplimiento de la normativa de la UIF exige consignar la </w:t>
      </w:r>
      <w:r w:rsidDel="00000000" w:rsidR="00000000" w:rsidRPr="00000000">
        <w:rPr>
          <w:b w:val="1"/>
          <w:bCs w:val="1"/>
          <w:rtl w:val="0"/>
        </w:rPr>
        <w:t xml:space="preserve">clave fiscal (CUIT/CUIL/CDI) del representante</w:t>
      </w:r>
      <w:r w:rsidDel="00000000" w:rsidR="00000000" w:rsidRPr="00000000">
        <w:rPr>
          <w:rtl w:val="0"/>
        </w:rPr>
        <w:t xml:space="preserve"> en la minuta. Su omisión no solo es una falta de compliance, sino una causal directa de observación registral.</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La seguridad de la transacción descansa en el </w:t>
      </w:r>
      <w:r w:rsidDel="00000000" w:rsidR="00000000" w:rsidRPr="00000000">
        <w:rPr>
          <w:b w:val="1"/>
          <w:bCs w:val="1"/>
          <w:rtl w:val="0"/>
        </w:rPr>
        <w:t xml:space="preserve">marco procedimental y administrativo</w:t>
      </w:r>
      <w:r w:rsidDel="00000000" w:rsidR="00000000" w:rsidRPr="00000000">
        <w:rPr>
          <w:rtl w:val="0"/>
        </w:rPr>
        <w:t xml:space="preserve"> del Colegio de Escribanos. Adherir a sus controles sobre folios, legalizaciones y archivos es indispensable para garantizar la integridad y validez de todo el proceso documental.</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6838" w:w="11906" w:orient="portrait"/>
      <w:pgMar w:bottom="1440.0000000000002" w:top="1440.0000000000002" w:left="1139.527559055118"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