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F55032"/>
          <w:sz w:val="40"/>
        </w:rPr>
        <w:t>▲ FUTURIA</w:t>
      </w:r>
    </w:p>
    <w:p>
      <w:pPr>
        <w:jc w:val="center"/>
      </w:pPr>
      <w:r>
        <w:rPr>
          <w:i/>
          <w:color w:val="999999"/>
          <w:sz w:val="16"/>
        </w:rPr>
        <w:t>«LOGO PENDIENTE DE ARCHIVO OFICIAL»</w:t>
      </w:r>
    </w:p>
    <w:p>
      <w:pPr>
        <w:jc w:val="center"/>
      </w:pPr>
      <w:r>
        <w:rPr>
          <w:b/>
          <w:color w:val="888899"/>
          <w:sz w:val="22"/>
        </w:rPr>
        <w:t>FUTURIA · INSTITUTO GLOBAL DE FUTUROS PLAUSIBLES</w:t>
      </w:r>
    </w:p>
    <w:p>
      <w:pPr>
        <w:jc w:val="center"/>
      </w:pPr>
      <w:r>
        <w:rPr>
          <w:b/>
          <w:color w:val="F55032"/>
          <w:sz w:val="40"/>
        </w:rPr>
        <w:t>X</w:t>
      </w:r>
    </w:p>
    <w:p>
      <w:pPr>
        <w:jc w:val="center"/>
      </w:pPr>
      <w:r>
        <w:rPr>
          <w:color w:val="444455"/>
          <w:sz w:val="22"/>
        </w:rPr>
        <w:t>Observatorio de Vigilancia Estrategica</w:t>
        <w:br/>
        <w:t>Prospeccion de Negocios con trazabilidad</w:t>
      </w:r>
    </w:p>
    <w:p>
      <w:pPr>
        <w:jc w:val="center"/>
      </w:pPr>
      <w:r>
        <w:rPr>
          <w:b/>
          <w:color w:val="B03020"/>
          <w:sz w:val="20"/>
        </w:rPr>
        <w:t>⚠ BORRADOR — NO VERIFICADO</w:t>
      </w:r>
    </w:p>
    <w:p>
      <w:pPr>
        <w:jc w:val="center"/>
      </w:pPr>
      <w:r>
        <w:rPr>
          <w:i/>
          <w:color w:val="888899"/>
          <w:sz w:val="18"/>
        </w:rPr>
        <w:t>Fecha: 2026-07-14    |    Control: Y</w:t>
      </w:r>
    </w:p>
    <w:p>
      <w:r>
        <w:br w:type="page"/>
      </w:r>
    </w:p>
    <w:p>
      <w:pPr>
        <w:pStyle w:val="Heading1"/>
      </w:pPr>
      <w:r>
        <w:t>INFORME DE CONVERGENCIA — GRUPO SANCOR SALUD</w:t>
      </w:r>
    </w:p>
    <w:p>
      <w:r>
        <w:rPr>
          <w:b/>
        </w:rPr>
        <w:t>BORRADOR — NO VERIFICADO POR EL CHAIRMAN.</w:t>
      </w:r>
      <w:r>
        <w:t xml:space="preserve"> Documento de trabajo del Observatorio de Vigilancia Estratégica (FUTURIA).</w:t>
        <w:br/>
        <w:t>Flujo 2 (prospección por cliente). Sistema SAT-FUTURIA: 100% trazable.</w:t>
        <w:br/>
        <w:t xml:space="preserve">Base de hechos: </w:t>
      </w:r>
      <w:r>
        <w:t>investigacion/CONSOLIDADO-hechos.md</w:t>
      </w:r>
      <w:r>
        <w:t xml:space="preserve"> (60 hechos con URL/Tier/fecha).</w:t>
        <w:br/>
        <w:t xml:space="preserve">Auditoría: APTO-CON-SALVEDADES (ver </w:t>
      </w:r>
      <w:r>
        <w:t>borrador/AUDITORIA-TRAZABILIDAD.md</w:t>
      </w:r>
      <w:r>
        <w:t>).</w:t>
      </w:r>
    </w:p>
    <w:p>
      <w:r>
        <w:rPr>
          <w:b/>
        </w:rPr>
        <w:t>LOGO:</w:t>
      </w:r>
      <w:r>
        <w:t xml:space="preserve"> FUTURIA (marca tipográfica; logo definitivo pendiente de archivo oficial).</w:t>
        <w:br/>
      </w:r>
      <w:r>
        <w:rPr>
          <w:b/>
        </w:rPr>
        <w:t>Control:</w:t>
      </w:r>
      <w:r>
        <w:t xml:space="preserve"> FUT-CONV-SANCOR-2026 · Marca de agua: "FUTURIA · CONFIDENCIAL".</w:t>
      </w:r>
    </w:p>
    <w:p>
      <w:pPr>
        <w:pStyle w:val="Heading2"/>
      </w:pPr>
      <w:r>
        <w:t>0. Propósito de este documento</w:t>
      </w:r>
    </w:p>
    <w:p>
      <w:r>
        <w:t xml:space="preserve">Este es el </w:t>
      </w:r>
      <w:r>
        <w:rPr>
          <w:b/>
        </w:rPr>
        <w:t>Informe de Convergencia</w:t>
      </w:r>
      <w:r>
        <w:t xml:space="preserve"> de Grupo SanCor Salud (Flujo 2). Parte del estudio minucioso del cliente, extrae las </w:t>
      </w:r>
      <w:r>
        <w:rPr>
          <w:b/>
        </w:rPr>
        <w:t>variables que afectan su negocio hoy y potencialmente</w:t>
      </w:r>
      <w:r>
        <w:t xml:space="preserve">, las proyecta en </w:t>
      </w:r>
      <w:r>
        <w:rPr>
          <w:b/>
        </w:rPr>
        <w:t>escenarios</w:t>
      </w:r>
      <w:r>
        <w:t xml:space="preserve">, y de ellas deriva las </w:t>
      </w:r>
      <w:r>
        <w:rPr>
          <w:b/>
        </w:rPr>
        <w:t>señales y fuentes</w:t>
      </w:r>
      <w:r>
        <w:t xml:space="preserve"> que deben rastrearse en el Laboratorio de Vigilancia (Flujo 1). Las señales aquí identificadas alimentan la investigación base del cliente y el corpus general del Instituto.</w:t>
      </w:r>
    </w:p>
    <w:p>
      <w:r>
        <w:t xml:space="preserve">Regla del Chairman: este informe es la base que rastrea señales y variables </w:t>
      </w:r>
      <w:r>
        <w:rPr>
          <w:i/>
        </w:rPr>
        <w:t>hacia atrás</w:t>
      </w:r>
      <w:r>
        <w:t>. No se factura por horas; es insumo del producto vendible (PRISM #001 en variantes A/B/C).</w:t>
      </w:r>
    </w:p>
    <w:p>
      <w:pPr>
        <w:pStyle w:val="Heading2"/>
      </w:pPr>
      <w:r>
        <w:t>1. Estudio del cliente (síntesis verificada)</w:t>
      </w:r>
    </w:p>
    <w:p>
      <w:r>
        <w:t xml:space="preserve">SanCor Salud es una </w:t>
      </w:r>
      <w:r>
        <w:rPr>
          <w:b/>
        </w:rPr>
        <w:t>Asociación Mutual</w:t>
      </w:r>
      <w:r>
        <w:t xml:space="preserve"> (constituida 6/7/1973, Sunchales, Santa Fe) de capital nacional, 3°/4° del mercado de prepagas (~672.000 afiliados; 825.793 según su reporte 2024/25). Perfil "federal" (fuerte en interior). Vertical integrada: Medicina Privada, Mista Seguros, Trayectoria Leasing, Vitus, Farmavitus, Fundación. [Hechos #1–#17]</w:t>
      </w:r>
    </w:p>
    <w:p>
      <w:r>
        <w:t>Contexto regulatorio argentino 2023–2026: DNU 70/2023 desreguló cuotas; causa por cartelización 2024 (Resolución 107/2024) cerrada por acuerdo. Inflación médica &gt; general; empleo registrado cayendo. [Entorno #1–#15]</w:t>
      </w:r>
    </w:p>
    <w:p>
      <w:pPr>
        <w:pStyle w:val="Heading2"/>
      </w:pPr>
      <w:r>
        <w:t>2. Variables del negocio (lo que afecta a Sancor)</w:t>
      </w:r>
    </w:p>
    <w:p>
      <w:pPr>
        <w:pStyle w:val="Heading2"/>
      </w:pPr>
      <w:r>
        <w:t>3. Escenarios prospectivos (2026–2035)</w:t>
      </w:r>
    </w:p>
    <w:p>
      <w:pPr>
        <w:pStyle w:val="ListBullet"/>
      </w:pPr>
      <w:r>
        <w:rPr>
          <w:b/>
        </w:rPr>
        <w:t>A — Mutual federal eficiente</w:t>
      </w:r>
      <w:r>
        <w:t xml:space="preserve"> (base): retiene interior, capitación + RPM de crónicos, IA en siniestralidad. </w:t>
      </w:r>
      <w:r>
        <w:rPr>
          <w:i/>
        </w:rPr>
        <w:t>Sostén: V6, V7, V4.</w:t>
      </w:r>
    </w:p>
    <w:p>
      <w:pPr>
        <w:pStyle w:val="ListBullet"/>
      </w:pPr>
      <w:r>
        <w:rPr>
          <w:b/>
        </w:rPr>
        <w:t>B — Guerra de cuotas y concentración</w:t>
      </w:r>
      <w:r>
        <w:t xml:space="preserve"> (adverso): cuotas libres, OSDE/Swiss por precio, empleo cae. </w:t>
      </w:r>
      <w:r>
        <w:rPr>
          <w:i/>
        </w:rPr>
        <w:t>Sostén: V1, V2.</w:t>
      </w:r>
    </w:p>
    <w:p>
      <w:pPr>
        <w:pStyle w:val="ListBullet"/>
      </w:pPr>
      <w:r>
        <w:rPr>
          <w:b/>
        </w:rPr>
        <w:t>C — Shock de costo (genérico/biológico + pandemia)</w:t>
      </w:r>
      <w:r>
        <w:t xml:space="preserve"> (cola): siniestralidad disparada. </w:t>
      </w:r>
      <w:r>
        <w:rPr>
          <w:i/>
        </w:rPr>
        <w:t>Sostén: V8, V3.</w:t>
      </w:r>
    </w:p>
    <w:p>
      <w:pPr>
        <w:pStyle w:val="ListBullet"/>
      </w:pPr>
      <w:r>
        <w:rPr>
          <w:b/>
        </w:rPr>
        <w:t>D — Payvider mutualista latino</w:t>
      </w:r>
      <w:r>
        <w:t xml:space="preserve"> (oportunidad): integración vertical + alianzas healthtech. </w:t>
      </w:r>
      <w:r>
        <w:rPr>
          <w:i/>
        </w:rPr>
        <w:t>Sostén: V6, V7.</w:t>
      </w:r>
    </w:p>
    <w:p>
      <w:pPr>
        <w:pStyle w:val="Heading2"/>
      </w:pPr>
      <w:r>
        <w:t>4. Cruce con señales del corpus del Laboratorio (Flujo 1)</w:t>
      </w:r>
    </w:p>
    <w:p>
      <w:r>
        <w:t xml:space="preserve">Del corpus de 75 señales (9 escenarios PRISM), </w:t>
      </w:r>
      <w:r>
        <w:rPr>
          <w:b/>
        </w:rPr>
        <w:t>5 señales</w:t>
      </w:r>
      <w:r>
        <w:t xml:space="preserve"> convergen con variables de Sancor (todas del eje de personalidad jurídica de IA):</w:t>
      </w:r>
    </w:p>
    <w:p>
      <w:r>
        <w:t xml:space="preserve">Estas señales ya están en </w:t>
      </w:r>
      <w:r>
        <w:t>senales_semilla.json</w:t>
      </w:r>
      <w:r>
        <w:t xml:space="preserve"> y son rastreadas diariamente por el Lab.</w:t>
      </w:r>
    </w:p>
    <w:p>
      <w:pPr>
        <w:pStyle w:val="Heading2"/>
      </w:pPr>
      <w:r>
        <w:t>5. NUEVAS señales propuestas para captura en el Flujo 1</w:t>
      </w:r>
    </w:p>
    <w:p>
      <w:r>
        <w:rPr>
          <w:b/>
        </w:rPr>
        <w:t>9 de 10 variables del negocio de Sancor NO tienen señal directa en el corpus actual.</w:t>
      </w:r>
      <w:r>
        <w:t xml:space="preserve"> Deben darse de alta como señales nuevas en el Laboratorio, cada una con fuente ya verificada en la investigación SAT:</w:t>
      </w:r>
    </w:p>
    <w:p>
      <w:r>
        <w:rPr>
          <w:b/>
        </w:rPr>
        <w:t>Acción:</w:t>
      </w:r>
      <w:r>
        <w:t xml:space="preserve"> estas 9 señales se cargan en </w:t>
      </w:r>
      <w:r>
        <w:t>senales_semilla.json</w:t>
      </w:r>
      <w:r>
        <w:t xml:space="preserve"> (o módulo sector Salud) para que el Lab las rastree diariamente. Hasta entonces, el corpus del Flujo 1 está ciego al sector salud argentino.</w:t>
      </w:r>
    </w:p>
    <w:p>
      <w:pPr>
        <w:pStyle w:val="Heading2"/>
      </w:pPr>
      <w:r>
        <w:t>6. Brechas de información (no inventadas)</w:t>
      </w:r>
    </w:p>
    <w:p>
      <w:pPr>
        <w:pStyle w:val="ListBullet"/>
      </w:pPr>
      <w:r>
        <w:t>Facturación/ingresos de SanCor (no públicos).</w:t>
      </w:r>
    </w:p>
    <w:p>
      <w:pPr>
        <w:pStyle w:val="ListBullet"/>
      </w:pPr>
      <w:r>
        <w:rPr>
          <w:i/>
        </w:rPr>
        <w:t>Market share</w:t>
      </w:r>
      <w:r>
        <w:t xml:space="preserve"> oficial por empresa (confirmar SSS).</w:t>
      </w:r>
    </w:p>
    <w:p>
      <w:pPr>
        <w:pStyle w:val="ListBullet"/>
      </w:pPr>
      <w:r>
        <w:t>CD 2025–2026 y CEO actual (Nari es 2023–2024).</w:t>
      </w:r>
    </w:p>
    <w:p>
      <w:pPr>
        <w:pStyle w:val="ListBullet"/>
      </w:pPr>
      <w:r>
        <w:t>Envejecimiento demográfico argentino específico y salarios reales (INDEC).</w:t>
      </w:r>
    </w:p>
    <w:p>
      <w:pPr>
        <w:pStyle w:val="ListBullet"/>
      </w:pPr>
      <w:r>
        <w:t>Existencia de resolución ANMAT de IA en dispositivos médicos (verificar; posible alucinación si se afirma sin fuente).</w:t>
      </w:r>
    </w:p>
    <w:p>
      <w:pPr>
        <w:pStyle w:val="Heading2"/>
      </w:pPr>
      <w:r>
        <w:t>7. Derivación a variantes de entrega (PRISM #001)</w:t>
      </w:r>
    </w:p>
    <w:p>
      <w:r>
        <w:t xml:space="preserve">Este Informe de Convergencia alimenta las </w:t>
      </w:r>
      <w:r>
        <w:rPr>
          <w:b/>
        </w:rPr>
        <w:t>3 variantes del producto vendible</w:t>
      </w:r>
      <w:r>
        <w:t xml:space="preserve"> al cliente:</w:t>
        <w:br/>
        <w:t xml:space="preserve">- </w:t>
      </w:r>
      <w:r>
        <w:rPr>
          <w:b/>
        </w:rPr>
        <w:t>Variante A (Ejecutivo/CEO):</w:t>
      </w:r>
      <w:r>
        <w:t xml:space="preserve"> secciones 1–3 + recomendaciones de negocio.</w:t>
        <w:br/>
        <w:t xml:space="preserve">- </w:t>
      </w:r>
      <w:r>
        <w:rPr>
          <w:b/>
        </w:rPr>
        <w:t>Variante B (Tecnológica/CTO):</w:t>
      </w:r>
      <w:r>
        <w:t xml:space="preserve"> V5, V6, V9, V10 + señales SIG-00002/004/007.</w:t>
        <w:br/>
        <w:t xml:space="preserve">- </w:t>
      </w:r>
      <w:r>
        <w:rPr>
          <w:b/>
        </w:rPr>
        <w:t>Variante C (Política/Reguladores):</w:t>
      </w:r>
      <w:r>
        <w:t xml:space="preserve"> V1, V10 + comparativa internacional de personalidad jurídica IA.</w:t>
      </w:r>
    </w:p>
    <w:p>
      <w:r>
        <w:rPr>
          <w:i/>
        </w:rPr>
        <w:t>Fin del borrador de Convergencia. Sujeto a firma del Chairman tras validación de contenido.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19000000" cy="25000000"/>
          <wp:docPr id="1" name="Picture 1"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_wm_tm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0" cy="250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