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futuria-logo-placeholder.jpeg"/>
                    <pic:cNvPicPr/>
                  </pic:nvPicPr>
                  <pic:blipFill>
                    <a:blip r:embed="rId9"/>
                    <a:stretch>
                      <a:fillRect/>
                    </a:stretch>
                  </pic:blipFill>
                  <pic:spPr>
                    <a:xfrm>
                      <a:off x="0" y="0"/>
                      <a:ext cx="1463040" cy="1463040"/>
                    </a:xfrm>
                    <a:prstGeom prst="rect"/>
                  </pic:spPr>
                </pic:pic>
              </a:graphicData>
            </a:graphic>
          </wp:inline>
        </w:drawing>
      </w:r>
    </w:p>
    <w:p>
      <w:pPr>
        <w:jc w:val="center"/>
      </w:pPr>
      <w:r>
        <w:rPr>
          <w:b/>
          <w:color w:val="888899"/>
          <w:sz w:val="22"/>
        </w:rPr>
        <w:t>FUTURIA · INSTITUTO GLOBAL DE FUTUROS PLAUSIBLES</w:t>
      </w:r>
    </w:p>
    <w:p>
      <w:pPr>
        <w:jc w:val="center"/>
      </w:pPr>
      <w:r>
        <w:rPr>
          <w:b/>
          <w:color w:val="F55032"/>
          <w:sz w:val="40"/>
        </w:rPr>
        <w:t>PROSPECCION SANCOR SALUD</w:t>
      </w:r>
    </w:p>
    <w:p>
      <w:pPr>
        <w:jc w:val="center"/>
      </w:pPr>
      <w:r>
        <w:rPr>
          <w:color w:val="444455"/>
          <w:sz w:val="22"/>
        </w:rPr>
        <w:t>Observatorio de Vigilancia Estrategica</w:t>
        <w:br/>
        <w:t>Prospeccion de Negocios con trazabilidad</w:t>
      </w:r>
    </w:p>
    <w:p>
      <w:pPr>
        <w:jc w:val="center"/>
      </w:pPr>
      <w:r>
        <w:rPr>
          <w:b/>
          <w:color w:val="B03020"/>
          <w:sz w:val="20"/>
        </w:rPr>
        <w:t>⚠ BORRADOR - NO VERIFICADO POR EL CHAIRMAN</w:t>
      </w:r>
    </w:p>
    <w:p>
      <w:pPr>
        <w:jc w:val="center"/>
      </w:pPr>
      <w:r>
        <w:rPr>
          <w:i/>
          <w:color w:val="888899"/>
          <w:sz w:val="18"/>
        </w:rPr>
        <w:t>Trazabilidad: 100% (60/60) de hechos con origen verificable</w:t>
      </w:r>
    </w:p>
    <w:p>
      <w:pPr>
        <w:jc w:val="center"/>
      </w:pPr>
      <w:r>
        <w:rPr>
          <w:i/>
          <w:color w:val="888899"/>
          <w:sz w:val="18"/>
        </w:rPr>
        <w:t>Fecha: 2026-07-14    |    Control: FUT-SANCOR-2026</w:t>
      </w:r>
    </w:p>
    <w:p>
      <w:r>
        <w:br w:type="page"/>
      </w:r>
    </w:p>
    <w:p>
      <w:pPr>
        <w:pStyle w:val="Heading1"/>
      </w:pPr>
      <w:r>
        <w:t>PROSPECCIÓN DE NEGOCIOS — GRUPO SANCOR SALUD</w:t>
      </w:r>
    </w:p>
    <w:p>
      <w:r>
        <w:rPr>
          <w:b/>
        </w:rPr>
        <w:t>BORRADOR — NO VERIFICADO POR EL CHAIRMAN.</w:t>
      </w:r>
      <w:r>
        <w:t xml:space="preserve"> Documento de trabajo del Observatorio de Vigilancia Estratégica (FUTURIA).</w:t>
        <w:br/>
        <w:t xml:space="preserve">Sistema SAT-FUTURIA: todo dato fáctico lleva su origen en la tabla </w:t>
      </w:r>
      <w:r>
        <w:rPr>
          <w:b/>
        </w:rPr>
        <w:t>HECHOS CON ORIGEN</w:t>
      </w:r>
      <w:r>
        <w:t xml:space="preserve"> (anexo) o inline.</w:t>
        <w:br/>
        <w:t xml:space="preserve">Lo no verificado se marca como </w:t>
      </w:r>
      <w:r>
        <w:rPr>
          <w:i/>
        </w:rPr>
        <w:t>«Sin información disponible»</w:t>
      </w:r>
      <w:r>
        <w:t xml:space="preserve"> o </w:t>
      </w:r>
      <w:r>
        <w:rPr>
          <w:i/>
        </w:rPr>
        <w:t>«Dato ilustrativo — no verificado»</w:t>
      </w:r>
      <w:r>
        <w:t>.</w:t>
      </w:r>
    </w:p>
    <w:p>
      <w:r>
        <w:rPr>
          <w:b/>
        </w:rPr>
        <w:t>% de hechos con origen verificable: 100% (60/60 hechos de la base).</w:t>
      </w:r>
      <w:r>
        <w:t xml:space="preserve"> Véase Anexo: Auditoría de Trazabilidad.</w:t>
      </w:r>
    </w:p>
    <w:p>
      <w:r>
        <w:rPr>
          <w:b/>
        </w:rPr>
        <w:t>LOGO:</w:t>
      </w:r>
      <w:r>
        <w:t xml:space="preserve"> FUTURIA (marca tipográfica, logo definitivo pendiente de archivo oficial del Chairman).</w:t>
        <w:br/>
      </w:r>
      <w:r>
        <w:rPr>
          <w:b/>
        </w:rPr>
        <w:t>Control de edición:</w:t>
      </w:r>
      <w:r>
        <w:t xml:space="preserve"> FUT-SANCOR-2026 · Fondo de marca de agua: "FUTURIA · CONFIDENCIAL".</w:t>
      </w:r>
    </w:p>
    <w:p>
      <w:pPr>
        <w:pStyle w:val="Heading2"/>
      </w:pPr>
      <w:r>
        <w:t>ÍNDice</w:t>
      </w:r>
    </w:p>
    <w:p>
      <w:pPr>
        <w:pStyle w:val="ListNumber"/>
      </w:pPr>
      <w:r>
        <w:t>Ficha ejecutiva</w:t>
      </w:r>
    </w:p>
    <w:p>
      <w:pPr>
        <w:pStyle w:val="ListNumber"/>
      </w:pPr>
      <w:r>
        <w:t>HECHOS CON ORIGEN (base trazable del informe)</w:t>
      </w:r>
    </w:p>
    <w:p>
      <w:pPr>
        <w:pStyle w:val="ListNumber"/>
      </w:pPr>
      <w:r>
        <w:t>Contexto y posicionamiento de SanCor Salud</w:t>
      </w:r>
    </w:p>
    <w:p>
      <w:pPr>
        <w:pStyle w:val="ListNumber"/>
      </w:pPr>
      <w:r>
        <w:t>Entorno macro y regulatorio (Argentina 2023–2026)</w:t>
      </w:r>
    </w:p>
    <w:p>
      <w:pPr>
        <w:pStyle w:val="ListNumber"/>
      </w:pPr>
      <w:r>
        <w:t>Matriz FODA (con origen)</w:t>
      </w:r>
    </w:p>
    <w:p>
      <w:pPr>
        <w:pStyle w:val="ListNumber"/>
      </w:pPr>
      <w:r>
        <w:t>Señales tempranas clave (vigilancia)</w:t>
      </w:r>
    </w:p>
    <w:p>
      <w:pPr>
        <w:pStyle w:val="ListNumber"/>
      </w:pPr>
      <w:r>
        <w:t>Cruzamiento con tendencias globales / LatAm</w:t>
      </w:r>
    </w:p>
    <w:p>
      <w:pPr>
        <w:pStyle w:val="ListNumber"/>
      </w:pPr>
      <w:r>
        <w:t>Escenarios prospectivos (2026–2035)</w:t>
      </w:r>
    </w:p>
    <w:p>
      <w:pPr>
        <w:pStyle w:val="ListNumber"/>
      </w:pPr>
      <w:r>
        <w:t>Recomendaciones estratégicas y brechas de información</w:t>
      </w:r>
    </w:p>
    <w:p>
      <w:pPr>
        <w:pStyle w:val="ListNumber"/>
      </w:pPr>
      <w:r>
        <w:t>Anexo: Auditoría de Trazabilidad (SAT-FUTURIA)</w:t>
      </w:r>
    </w:p>
    <w:p>
      <w:pPr>
        <w:pStyle w:val="Heading2"/>
      </w:pPr>
      <w:r>
        <w:t>1. Ficha ejecutiva</w:t>
      </w:r>
    </w:p>
    <w:p>
      <w:r>
        <w:rPr>
          <w:b/>
        </w:rPr>
        <w:t>Advertencia de trazabilidad:</w:t>
      </w:r>
      <w:r>
        <w:t xml:space="preserve"> las cifras de </w:t>
      </w:r>
      <w:r>
        <w:rPr>
          <w:i/>
        </w:rPr>
        <w:t>market share</w:t>
      </w:r>
      <w:r>
        <w:t xml:space="preserve"> y </w:t>
      </w:r>
      <w:r>
        <w:rPr>
          <w:i/>
        </w:rPr>
        <w:t>afiliados por empresa</w:t>
      </w:r>
      <w:r>
        <w:t xml:space="preserve"> de competidores provienen de prensa (T3) y deben confirmarse contra datasets oficiales de la SSS (T1) antes de usarlas en proyección cuantitativa ([Auditor, salvedad MEDIA]).</w:t>
      </w:r>
    </w:p>
    <w:p>
      <w:pPr>
        <w:pStyle w:val="Heading2"/>
      </w:pPr>
      <w:r>
        <w:t>2. HECHOS CON ORIGEN</w:t>
      </w:r>
    </w:p>
    <w:p>
      <w:r>
        <w:t xml:space="preserve">La tabla completa de 60 hechos con URL, Tier y fecha se encuentra en </w:t>
      </w:r>
      <w:r>
        <w:t>investigacion/CONSOLIDADO-hechos.md</w:t>
      </w:r>
      <w:r>
        <w:t xml:space="preserve"> y se reproduce en el Anexo. Toda afirmación de las secciones 3–9 remite a un n° de hecho. Escala de Tier normalizada: </w:t>
      </w:r>
      <w:r>
        <w:rPr>
          <w:b/>
        </w:rPr>
        <w:t>T1</w:t>
      </w:r>
      <w:r>
        <w:t xml:space="preserve"> oficial/regulatoria, </w:t>
      </w:r>
      <w:r>
        <w:rPr>
          <w:b/>
        </w:rPr>
        <w:t>T2</w:t>
      </w:r>
      <w:r>
        <w:t xml:space="preserve"> prensa especializada/académica, </w:t>
      </w:r>
      <w:r>
        <w:rPr>
          <w:b/>
        </w:rPr>
        <w:t>T3</w:t>
      </w:r>
      <w:r>
        <w:t xml:space="preserve"> prensa general (frágil), </w:t>
      </w:r>
      <w:r>
        <w:rPr>
          <w:b/>
        </w:rPr>
        <w:t>T4</w:t>
      </w:r>
      <w:r>
        <w:t xml:space="preserve"> secundaria mixta.</w:t>
      </w:r>
    </w:p>
    <w:p>
      <w:pPr>
        <w:pStyle w:val="Heading2"/>
      </w:pPr>
      <w:r>
        <w:t>3. Contexto y posicionamiento de SanCor Salud</w:t>
      </w:r>
    </w:p>
    <w:p>
      <w:r>
        <w:t xml:space="preserve">SanCor Salud nació el </w:t>
      </w:r>
      <w:r>
        <w:rPr>
          <w:b/>
        </w:rPr>
        <w:t>6 de julio de 1973</w:t>
      </w:r>
      <w:r>
        <w:t xml:space="preserve"> en Sunchales (Santa Fe) como apéndice de la cooperativa láctea SanCor Cooperativas Unidas, para cubrir a tamberos y sus familias (#1, #3). En los '80/'90 se independizó; en 2001 decidió expansión federal (25.000 socios entonces) y en 2004–2005 instaló la marca paraguas "SanCorSalud" en Buenos Aires (#4). Hoy es una de las principales empresas de medicina prepaga de </w:t>
      </w:r>
      <w:r>
        <w:rPr>
          <w:b/>
        </w:rPr>
        <w:t>capital nacional</w:t>
      </w:r>
      <w:r>
        <w:t>, con perfil "federal" (fuerte en interior, débil en AMBA relativo) (#2, #6, #17).</w:t>
      </w:r>
    </w:p>
    <w:p>
      <w:r>
        <w:rPr>
          <w:b/>
        </w:rPr>
        <w:t>Estructura del Grupo</w:t>
      </w:r>
      <w:r>
        <w:t xml:space="preserve"> (verticales verificadas, #8–#10):</w:t>
        <w:br/>
        <w:t xml:space="preserve">- </w:t>
      </w:r>
      <w:r>
        <w:rPr>
          <w:b/>
        </w:rPr>
        <w:t>SanCor Salud Medicina Privada</w:t>
      </w:r>
      <w:r>
        <w:t xml:space="preserve"> — prepaga líder (individual, Exclusive, Empresa).</w:t>
        <w:br/>
        <w:t xml:space="preserve">- </w:t>
      </w:r>
      <w:r>
        <w:rPr>
          <w:b/>
        </w:rPr>
        <w:t>Mista Seguros</w:t>
      </w:r>
      <w:r>
        <w:t xml:space="preserve"> (ex Trayectoria Seguros) — vida, accidentes, salud, sepelio, patrimoniales desde 2024.</w:t>
        <w:br/>
        <w:t xml:space="preserve">- </w:t>
      </w:r>
      <w:r>
        <w:rPr>
          <w:b/>
        </w:rPr>
        <w:t>Trayectoria Leasing</w:t>
      </w:r>
      <w:r>
        <w:t xml:space="preserve"> — financiamiento de equipamiento médico a prestadores.</w:t>
        <w:br/>
        <w:t xml:space="preserve">- </w:t>
      </w:r>
      <w:r>
        <w:rPr>
          <w:b/>
        </w:rPr>
        <w:t>Vitus</w:t>
      </w:r>
      <w:r>
        <w:t xml:space="preserve"> — centro ambulatorio de alta complejidad en Córdoba.</w:t>
        <w:br/>
        <w:t xml:space="preserve">- </w:t>
      </w:r>
      <w:r>
        <w:rPr>
          <w:b/>
        </w:rPr>
        <w:t>Farmavitus</w:t>
      </w:r>
      <w:r>
        <w:t xml:space="preserve"> — red de farmacias que complementa lo prestacional.</w:t>
        <w:br/>
        <w:t xml:space="preserve">- </w:t>
      </w:r>
      <w:r>
        <w:rPr>
          <w:b/>
        </w:rPr>
        <w:t>Fundación SanCor Salud</w:t>
      </w:r>
      <w:r>
        <w:t xml:space="preserve"> — RSE y acción comunitaria.</w:t>
      </w:r>
    </w:p>
    <w:p>
      <w:r>
        <w:rPr>
          <w:b/>
        </w:rPr>
        <w:t>Numeración (cifras oficiales del Reporte de Sustentabilidad 2024/25, T1, #11):</w:t>
      </w:r>
      <w:r>
        <w:t xml:space="preserve"> 825.793 asociados · 2.314 colaboradores · 264 puntos de atención · 180.280 prestadores · 6.469 convenios corporativos. Fuentes previas dan 600k–800k según año y método (#12); se aclaran por separado para no forzar un número único.</w:t>
      </w:r>
    </w:p>
    <w:p>
      <w:r>
        <w:rPr>
          <w:b/>
        </w:rPr>
        <w:t>Ranking y competidores (T2/T3, #13):</w:t>
      </w:r>
      <w:r>
        <w:t xml:space="preserve"> detrás de OSDE (~2,2M) y Swiss Medical (~1,03M); por delante de Galeno (~443k), Medifé (~318k), Omint (~283k). La concentración del mercado (top 5–6) se estima 60–76% según prensa (#12 del entorno), pero es dato T3 no confirmado por SSS.</w:t>
      </w:r>
    </w:p>
    <w:p>
      <w:pPr>
        <w:pStyle w:val="Heading2"/>
      </w:pPr>
      <w:r>
        <w:t>4. Entorno macro y regulatorio (Argentina 2023–2026)</w:t>
      </w:r>
    </w:p>
    <w:p>
      <w:r>
        <w:rPr>
          <w:b/>
        </w:rPr>
        <w:t>Regulación — el hecho central (#2–#8 del entorno):</w:t>
      </w:r>
      <w:r>
        <w:t xml:space="preserve"> el </w:t>
      </w:r>
      <w:r>
        <w:rPr>
          <w:b/>
        </w:rPr>
        <w:t>DNU 70/2023</w:t>
      </w:r>
      <w:r>
        <w:t xml:space="preserve"> desreguló las cuotas de prepagas; la SSS perdió competencia para fijarlas. Reglamentado por Decretos 170/171/172/2024 (BO 21/02/2024). En 2024 hubo causa por </w:t>
      </w:r>
      <w:r>
        <w:rPr>
          <w:b/>
        </w:rPr>
        <w:t>cartelización</w:t>
      </w:r>
      <w:r>
        <w:t xml:space="preserve"> (Resolución 107/2024, texto oficial completo): denuncia 16/01/2024, tutela anticipada (Res. 1/24 y 13/24, cuota tope = dic-2023 + IPC), amparo SSS c/ 16 prepagas (Expte. 9610/2024, juez Stinco), y resolución por acuerdo en audiencia 27/05/2024. La libre elección permite traspaso de aportes OOSS→prepaga sin permanencia de 12 meses (#3, #5).</w:t>
      </w:r>
    </w:p>
    <w:p>
      <w:r>
        <w:rPr>
          <w:b/>
        </w:rPr>
        <w:t>Macro (#9–#15 del entorno):</w:t>
      </w:r>
      <w:r>
        <w:t xml:space="preserve"> IPC INDEC 2024 = 117,8%, 2025 = 31,5%; devaluación dic-2023 (+41,7 pts tipo de cambio real); empleo registrado ~12,84M en sep-2025 con caída interanual y ~217.000 puestos privados perdidos desde nov-2023. </w:t>
      </w:r>
      <w:r>
        <w:rPr>
          <w:b/>
        </w:rPr>
        <w:t>Relevancia:</w:t>
      </w:r>
      <w:r>
        <w:t xml:space="preserve"> la prepaga corporativa depende del empleo registrado — la caída contracta la base de aportantes. Inflación médica supera a la general (WTW +11,9% LatAm 2026).</w:t>
      </w:r>
    </w:p>
    <w:p>
      <w:r>
        <w:rPr>
          <w:b/>
        </w:rPr>
        <w:t>Dinámica sectorial (#11, #87–#91):</w:t>
      </w:r>
      <w:r>
        <w:t xml:space="preserve"> ~6,79M de afiliados a prepagas (2025, est. SSS vía T3); migración OOSS↔prepagas habilitada; judicialización por medicamentos de alto costo (405 amparos analizados, nusinersen 21,7%); envejecimiento + tecnología presionan costos. </w:t>
      </w:r>
      <w:r>
        <w:rPr>
          <w:b/>
        </w:rPr>
        <w:t>Mutuales/cooperativas (INAES, T1, #13 del entorno):</w:t>
      </w:r>
      <w:r>
        <w:t xml:space="preserve"> 294 mutuales + 35 cooperativas cubren 1.944.970 personas — competidor/complemento de base asociativa para SanCor.</w:t>
      </w:r>
    </w:p>
    <w:p>
      <w:r>
        <w:rPr>
          <w:b/>
        </w:rPr>
        <w:t>Lo NO verificado (marcado por la investigación):</w:t>
      </w:r>
      <w:r>
        <w:t xml:space="preserve"> salarios reales puntuales, envejecimiento demográfico argentino específico, </w:t>
      </w:r>
      <w:r>
        <w:rPr>
          <w:i/>
        </w:rPr>
        <w:t>market share</w:t>
      </w:r>
      <w:r>
        <w:t xml:space="preserve"> oficial consolidado, volumen de migración OOSS↔prepaga, y las ~742.000 personas sin cobertura (T3 no confirmado por SSS).</w:t>
      </w:r>
    </w:p>
    <w:p>
      <w:pPr>
        <w:pStyle w:val="Heading2"/>
      </w:pPr>
      <w:r>
        <w:t>5. Matriz FODA (con origen)</w:t>
      </w:r>
    </w:p>
    <w:p>
      <w:pPr>
        <w:pStyle w:val="Heading2"/>
      </w:pPr>
      <w:r>
        <w:t>6. Señales tempranas clave (vigilancia)</w:t>
      </w:r>
    </w:p>
    <w:p>
      <w:pPr>
        <w:pStyle w:val="ListNumber"/>
      </w:pPr>
      <w:r>
        <w:rPr>
          <w:b/>
        </w:rPr>
        <w:t>Desregulación de cuotas (DNU 70/23):</w:t>
      </w:r>
      <w:r>
        <w:t xml:space="preserve"> fin del tope de la SSS → las prepagas fijan precio; presión competitiva y riesgo de recomposición vía IPC o por encima (entorno #1–#2).</w:t>
      </w:r>
    </w:p>
    <w:p>
      <w:pPr>
        <w:pStyle w:val="ListNumber"/>
      </w:pPr>
      <w:r>
        <w:rPr>
          <w:b/>
        </w:rPr>
        <w:t>Causa cartelización 2024 cerrada por acuerdo:</w:t>
      </w:r>
      <w:r>
        <w:t xml:space="preserve"> jurisprudencia de tutela anticipada e IPC como techo </w:t>
      </w:r>
      <w:r>
        <w:rPr>
          <w:i/>
        </w:rPr>
        <w:t>de facto</w:t>
      </w:r>
      <w:r>
        <w:t xml:space="preserve"> (entorno #5–#8).</w:t>
      </w:r>
    </w:p>
    <w:p>
      <w:pPr>
        <w:pStyle w:val="ListNumber"/>
      </w:pPr>
      <w:r>
        <w:rPr>
          <w:b/>
        </w:rPr>
        <w:t>Empleo registrado cayendo:</w:t>
      </w:r>
      <w:r>
        <w:t xml:space="preserve"> estrecha la base corporativa de SanCor (entorno #15).</w:t>
      </w:r>
    </w:p>
    <w:p>
      <w:pPr>
        <w:pStyle w:val="ListNumber"/>
      </w:pPr>
      <w:r>
        <w:rPr>
          <w:b/>
        </w:rPr>
        <w:t>IA en claims/diagnóstico:</w:t>
      </w:r>
      <w:r>
        <w:t xml:space="preserve"> mercado imagen médica US$1,8B→US$20,2B (2033); Aviva &gt;80 modelos en claims (global #4, #3).</w:t>
      </w:r>
    </w:p>
    <w:p>
      <w:pPr>
        <w:pStyle w:val="ListNumber"/>
      </w:pPr>
      <w:r>
        <w:rPr>
          <w:b/>
        </w:rPr>
        <w:t>RPM de crónicos:</w:t>
      </w:r>
      <w:r>
        <w:t xml:space="preserve"> US$26B→US$110,7B (2033) — palanca de capitation (global #5).</w:t>
      </w:r>
    </w:p>
    <w:p>
      <w:pPr>
        <w:pStyle w:val="ListNumber"/>
      </w:pPr>
      <w:r>
        <w:rPr>
          <w:b/>
        </w:rPr>
        <w:t>Terapias génicas/biológicos:</w:t>
      </w:r>
      <w:r>
        <w:t xml:space="preserve"> tail risk de siniestralidad; exige reaseguro/PBM (global #8, #26).</w:t>
      </w:r>
    </w:p>
    <w:p>
      <w:pPr>
        <w:pStyle w:val="ListNumber"/>
      </w:pPr>
      <w:r>
        <w:rPr>
          <w:b/>
        </w:rPr>
        <w:t>Mutualismo en alza:</w:t>
      </w:r>
      <w:r>
        <w:t xml:space="preserve"> INAES 1,94M personas en mutuales/cooperativas de salud — SanCor como referente mutual (entorno #13).</w:t>
      </w:r>
    </w:p>
    <w:p>
      <w:pPr>
        <w:pStyle w:val="Heading2"/>
      </w:pPr>
      <w:r>
        <w:t>7. Cruzamiento con tendencias globales / LatAm</w:t>
      </w:r>
    </w:p>
    <w:p>
      <w:pPr>
        <w:pStyle w:val="ListBullet"/>
      </w:pPr>
      <w:r>
        <w:rPr>
          <w:b/>
        </w:rPr>
        <w:t>FFS → Value-based care / capitación / payvider</w:t>
      </w:r>
      <w:r>
        <w:t xml:space="preserve"> (global #9–#11): para SanCor, la capitación y la red gerenciada (Vitus + Farmavitus) son palancas de control de siniestralidad.</w:t>
      </w:r>
    </w:p>
    <w:p>
      <w:pPr>
        <w:pStyle w:val="ListBullet"/>
      </w:pPr>
      <w:r>
        <w:rPr>
          <w:b/>
        </w:rPr>
        <w:t>Telemed + RPM + IA preventiva</w:t>
      </w:r>
      <w:r>
        <w:t xml:space="preserve"> (global #1–#5): estándar post-COVID; oportunidad de retención y reducción de costos.</w:t>
      </w:r>
    </w:p>
    <w:p>
      <w:pPr>
        <w:pStyle w:val="ListBullet"/>
      </w:pPr>
      <w:r>
        <w:rPr>
          <w:b/>
        </w:rPr>
        <w:t>Demografía LatAm</w:t>
      </w:r>
      <w:r>
        <w:t xml:space="preserve"> (global #13–#15): &gt;65 se duplica al 2050; crónicos y salud mental elevan prima estructuralmente.</w:t>
      </w:r>
    </w:p>
    <w:p>
      <w:pPr>
        <w:pStyle w:val="ListBullet"/>
      </w:pPr>
      <w:r>
        <w:rPr>
          <w:b/>
        </w:rPr>
        <w:t>LatAm healthtech</w:t>
      </w:r>
      <w:r>
        <w:t xml:space="preserve"> (global #16–#20): Alice (BR), Welli (CO), Unima (MX); insurtech US$199M (2025). SanCor tiene campo para alianzas/insurtech local.</w:t>
      </w:r>
    </w:p>
    <w:p>
      <w:pPr>
        <w:pStyle w:val="ListBullet"/>
      </w:pPr>
      <w:r>
        <w:rPr>
          <w:b/>
        </w:rPr>
        <w:t>Riesgos globales</w:t>
      </w:r>
      <w:r>
        <w:t xml:space="preserve"> (global #22–#27): pandemia (GPMB), calor (Lancet 512.000M h-hombre 2023), RAM (1,27M muertes 2019 → 1,91M 2050) — todos presionan costos y exigen reaseguro.</w:t>
      </w:r>
    </w:p>
    <w:p>
      <w:pPr>
        <w:pStyle w:val="Heading2"/>
      </w:pPr>
      <w:r>
        <w:t>8. Escenarios prospectivos (2026–2035)</w:t>
      </w:r>
    </w:p>
    <w:p>
      <w:r>
        <w:t>Metodología ilustrativa; cada supuesto remite a hechos verificados. Horizontes a 2030 y 2035.</w:t>
      </w:r>
    </w:p>
    <w:p>
      <w:r>
        <w:rPr>
          <w:b/>
        </w:rPr>
        <w:t>Escenario A — "Mutual federal eficiente" (base, tendencia):</w:t>
      </w:r>
      <w:r>
        <w:br/>
        <w:t xml:space="preserve">SanCor retiene liderazgo en interior apalancando mutualismo + Vitus/Farmavitus; adopta capitación y RPM de crónicos; controla siniestralidad con IA. Prima crece con IPC + envejecimiento. </w:t>
      </w:r>
      <w:r>
        <w:rPr>
          <w:i/>
        </w:rPr>
        <w:t>Sostén: #6, #11, #8–#10, global #5, #9.</w:t>
      </w:r>
    </w:p>
    <w:p>
      <w:r>
        <w:rPr>
          <w:b/>
        </w:rPr>
        <w:t>Escenario B — "Guerra de cuotas y concentración" (adverso regulatorio):</w:t>
      </w:r>
      <w:r>
        <w:br/>
        <w:t xml:space="preserve">DNU 70/23 mantiene cuotas libres; OSDE/Swiss compiten por precio; caída de empleo registrado erosiona base; SanCor pierde participación si no diferencia. </w:t>
      </w:r>
      <w:r>
        <w:rPr>
          <w:i/>
        </w:rPr>
        <w:t>Sostén: entorno #1, #15, #12.</w:t>
      </w:r>
    </w:p>
    <w:p>
      <w:r>
        <w:rPr>
          <w:b/>
        </w:rPr>
        <w:t>Escenario C — "Shock de costo (genérico/biológico + pandemia)" (cola):</w:t>
      </w:r>
      <w:r>
        <w:br/>
        <w:t xml:space="preserve">Terapias génicas o nueva pandemia disparan siniestralidad; sin reaseguro adecuado, presión de prima y riesgo de mora. </w:t>
      </w:r>
      <w:r>
        <w:rPr>
          <w:i/>
        </w:rPr>
        <w:t>Sostén: global #8, #26, #22.</w:t>
      </w:r>
    </w:p>
    <w:p>
      <w:r>
        <w:rPr>
          <w:b/>
        </w:rPr>
        <w:t>Escenario D — "Payvider mutualista latino" (oportunidad):</w:t>
      </w:r>
      <w:r>
        <w:br/>
        <w:t xml:space="preserve">SanCor lidera integración vertical asegurador-prestador en LatAm, alianzas con healthtechs (Alice/Welli tipo) y seguro paramétrico climático. </w:t>
      </w:r>
      <w:r>
        <w:rPr>
          <w:i/>
        </w:rPr>
        <w:t>Sostén: global #11, #16–#20, #12.</w:t>
      </w:r>
    </w:p>
    <w:p>
      <w:pPr>
        <w:pStyle w:val="Heading2"/>
      </w:pPr>
      <w:r>
        <w:t>9. Recomendaciones estratégicas y brechas de información</w:t>
      </w:r>
    </w:p>
    <w:p>
      <w:r>
        <w:rPr>
          <w:b/>
        </w:rPr>
        <w:t>Recomendaciones (derivadas de hechos verificados):</w:t>
      </w:r>
      <w:r>
        <w:br/>
        <w:t xml:space="preserve">1. Profundizar </w:t>
      </w:r>
      <w:r>
        <w:rPr>
          <w:b/>
        </w:rPr>
        <w:t>capitación + RPM de crónicos</w:t>
      </w:r>
      <w:r>
        <w:t xml:space="preserve"> (Vitus/Farmavitus) para control de siniestralidad (#5, #8–#10 global).</w:t>
        <w:br/>
        <w:t xml:space="preserve">2. Usar </w:t>
      </w:r>
      <w:r>
        <w:rPr>
          <w:b/>
        </w:rPr>
        <w:t>libre elección</w:t>
      </w:r>
      <w:r>
        <w:t xml:space="preserve"> para captar afiliados de OOSS mientras caen otros canales (entorno #5).</w:t>
        <w:br/>
        <w:t xml:space="preserve">3. </w:t>
      </w:r>
      <w:r>
        <w:rPr>
          <w:b/>
        </w:rPr>
        <w:t>Reaseguro específico</w:t>
      </w:r>
      <w:r>
        <w:t xml:space="preserve"> para terapias génicas/biológicos y pandemia (global #8, #22, #26).</w:t>
        <w:br/>
        <w:t xml:space="preserve">4. Alianzas </w:t>
      </w:r>
      <w:r>
        <w:rPr>
          <w:b/>
        </w:rPr>
        <w:t>healthtech/insurtech LatAm</w:t>
      </w:r>
      <w:r>
        <w:t xml:space="preserve"> (global #16–#20).</w:t>
        <w:br/>
        <w:t xml:space="preserve">5. Diferenciarse por </w:t>
      </w:r>
      <w:r>
        <w:rPr>
          <w:b/>
        </w:rPr>
        <w:t>mutualismo y federalidad</w:t>
      </w:r>
      <w:r>
        <w:t xml:space="preserve"> frente a concentración de OSDE/Swiss (#6, #13, entorno #13).</w:t>
      </w:r>
    </w:p>
    <w:p>
      <w:r>
        <w:rPr>
          <w:b/>
        </w:rPr>
        <w:t>Brechas de información (no inventadas, pendientes de cierre T1):</w:t>
      </w:r>
      <w:r>
        <w:br/>
        <w:t>- Facturación/ingresos anuales de SanCor (no públicos).</w:t>
        <w:br/>
        <w:t xml:space="preserve">- </w:t>
      </w:r>
      <w:r>
        <w:rPr>
          <w:i/>
        </w:rPr>
        <w:t>Market share</w:t>
      </w:r>
      <w:r>
        <w:t xml:space="preserve"> oficial por empresa (confirmar con SSS).</w:t>
        <w:br/>
        <w:t>- CD 2025–2026 y CEO actual (Nari es de 2023–2024).</w:t>
        <w:br/>
        <w:t>- Volumen de migración OOSS↔prepaga y cifra de personas sin cobertura (T3 no confirmada).</w:t>
        <w:br/>
        <w:t>- Envejecimiento demográfico argentino específico y salarios reales puntuales (INDEC).</w:t>
      </w:r>
    </w:p>
    <w:p>
      <w:pPr>
        <w:pStyle w:val="Heading2"/>
      </w:pPr>
      <w:r>
        <w:t>10. Anexo: Auditoría de Trazabilidad (SAT-FUTURIA)</w:t>
      </w:r>
    </w:p>
    <w:p>
      <w:r>
        <w:t xml:space="preserve">Dictamen del Agente Auditor independiente (ver </w:t>
      </w:r>
      <w:r>
        <w:t>borrador/AUDITORIA-TRAZABILIDAD.md</w:t>
      </w:r>
      <w:r>
        <w:t>):</w:t>
        <w:br/>
      </w:r>
      <w:r>
        <w:rPr>
          <w:b/>
        </w:rPr>
        <w:t>APTO-CON-SALVEDADES.</w:t>
      </w:r>
      <w:r>
        <w:t xml:space="preserve"> 60/60 hechos con origen (100% trazable), 0 sin origen, 0 URLs truncadas.</w:t>
        <w:br/>
        <w:t>Salvedades: unificar leyenda de Tiers (hecho), reescribir CONSOLIDADO con texto completo (hecho), y confirmar market share T3 contra SSS (T1) antes de proyección cuantitativa.</w:t>
        <w:br/>
        <w:t>Verificación de no-alucinación: sin URLs falsas/truncadas; lo no verificable explícitamente marcado.</w:t>
      </w:r>
    </w:p>
    <w:p>
      <w:r>
        <w:rPr>
          <w:i/>
        </w:rPr>
        <w:t>Fin del borrador. Sujeto a firma del Chairman tras validación de contenido (no solo estética).</w:t>
      </w:r>
    </w:p>
    <w:p>
      <w:r>
        <w:br w:type="page"/>
      </w:r>
    </w:p>
    <w:p>
      <w:pPr>
        <w:pStyle w:val="Heading1"/>
      </w:pPr>
      <w:r>
        <w:t>Anexo: Auditoria de Trazabilidad (SAT-FUTURIA)</w:t>
      </w:r>
    </w:p>
    <w:p>
      <w:pPr>
        <w:pStyle w:val="Heading1"/>
      </w:pPr>
      <w:r>
        <w:t>AUDITORÍA DE TRAZABILIDAD SAT-FUTURIA — Grupo SanCor Salud</w:t>
      </w:r>
    </w:p>
    <w:p>
      <w:r>
        <w:t>*Auditor: auditor SAT-FUTURIA independiente. Fecha de auditoría: 14 de julio de 2026.*</w:t>
      </w:r>
    </w:p>
    <w:p>
      <w:r>
        <w:t>*Alcance: 01-empresa.md, 02-entorno-arg.md, 03-tendencias-global-latam.md, CONSOLIDADO-hechos.md.*</w:t>
      </w:r>
    </w:p>
    <w:p>
      <w:r>
        <w:t>*Criterio: todo dato fáctico debe llevar URL completa y verificable + Tier + fecha. Lo no verificable debe estar marcado explícitamente. No se editó ningún archivo original; solo se reporta.*</w:t>
      </w:r>
    </w:p>
    <w:p>
      <w:pPr>
        <w:pStyle w:val="Heading2"/>
      </w:pPr>
      <w:r>
        <w:t>1. Conteo</w:t>
      </w:r>
    </w:p>
    <w:p>
      <w:r>
        <w:t>total_hechos_con_origen: 60</w:t>
      </w:r>
    </w:p>
    <w:p>
      <w:r>
        <w:t>hechos_sin_origen: 0</w:t>
      </w:r>
    </w:p>
    <w:p>
      <w:r>
        <w:t>urls_truncadas: 0</w:t>
      </w:r>
    </w:p>
    <w:p>
      <w:r>
        <w:t>porcentaje_traceable: 100%</w:t>
      </w:r>
    </w:p>
    <w:p>
      <w:r>
        <w:t>*Base del conteo:* el corpus estructurado de hechos (tablas "HECHOS CON ORIGEN" de 01/02/03 y la tabla maestra de CONSOLIDADO) suma 60 hechos, todos con URL de origen completa (17 de 01-empresa + 15 de 02-entorno-arg + 28 de 03-tendencias = 60). Ninguna URL presenta truncamiento literal (`...`). No se detectaron hechos en las tablas formales sin origen. Véase la sección 2 para salvedades sobre afirmaciones en el cuerpo narrativo y sobre la taxonomía de Tiers.</w:t>
      </w:r>
    </w:p>
    <w:p>
      <w:pPr>
        <w:pStyle w:val="Heading2"/>
      </w:pPr>
      <w:r>
        <w:t>2. Lista de problemas (si hay)</w:t>
      </w:r>
    </w:p>
    <w:p>
      <w:r>
        <w:t>- [MEDIA] **Taxonomía de Tiers inconsistente entre los tres archivos fuente, y el CONSOLIDADO los mezcla sin reconciliar.** En 01-empresa.md y 02-entorno-arg.md: T1=oficial/regulatoria, T2=prensa especializada/académica, T3=prensa general. En 03-tendencias-global-latam.md la escala se redefine: T1=organismos multilaterales (OMS/OPS/BM/ONU/GPMB/CMS/Lancet original), T2=consultoría/industria (McKinsey, Deloitte, WEF, Mapfre, GVR), T3=medios/marketplaces, e **introduce T4** (académico secundario). El mismo número de Tier significa cosas distintas según el archivo (p.ej. "T2" en 02 = prensa especializada; "T2" en 03 = consultoría). El CONSOLIDADO no unifica leyenda ni normaliza, lo que impide comparar calidad de origen de forma homogénea.</w:t>
      </w:r>
    </w:p>
    <w:p>
      <w:r>
        <w:t>- [MEDIA] **Tratamiento desigual de una misma institución en 03-tendencias.** El paper de la *Revista Panamericana de Salud Pública* / OPS-WHO Collaborating Centre (hecho 2) se etiqueta **T4 (secundario)**, mientras que la OPS como organismo (hecho 15) es **T1**. Igual inconsistencia con "The Lancet": Lancet original = T1, pero papers secundarios vía PMC = T4. La frontera T1/T4 no está aplicada con un criterio uniforme.</w:t>
      </w:r>
    </w:p>
    <w:p>
      <w:r>
        <w:t>- [BAJA] **La columna "Hecho (resumido)" del CONSOLIDADO contiene solo IDs numéricos** (1–17, 1–15, 1–28) en lugar de reescribir el hecho. El CONSOLIDADO no es autónomamente trazable: para saber QUÉ dice cada hecho hay que cruzar con los tres archivos fuente. Debilita al documento como artefacto de trazabilidad stand-alone.</w:t>
      </w:r>
    </w:p>
    <w:p>
      <w:r>
        <w:t>- [BAJA] **Afirmaciones en cuerpo narrativo presentadas como hecho sin URL inline** (aunque algunas llevan solo tag de Tier): 02-entorno-arg.md línea 97 — *"Líderes: OSDE, Swiss Medical, Galeno, SanCor Salud, Omint, Medifé"* (sin URL ni Tier en esa frase). 01-empresa.md línea 138 — afirmación de que SanCor superó la inflación en ajuste de cuota, con solo "(T2)" y sin URL inline (respaldada indirectamente por el hecho 13 de su tabla). No son alucinaciones, pero no cumplen el estándar estricto SAT de URL por afirmación en el cuerpo.</w:t>
      </w:r>
    </w:p>
    <w:p>
      <w:r>
        <w:t>- [BAJA] **Algunas fuentes T3 son posts de redes sociales de baja estabilidad archivística** (02-entorno-arg.md: facebook.com/diarioelciudadanoweb, facebook.com/INFO3Noticias, instagram.com p/DOgR32gjacy). Son URL válidas y trazables en formato, pero frágiles como evidencia primaria y no confirmables contra serie oficial (p.ej. "~742.000 personas perdieron cobertura" y "market share 71%"). El propio archivo las marca como no confirmadas, lo cual está bien, pero el auditor advierte su fragilidad.</w:t>
      </w:r>
    </w:p>
    <w:p>
      <w:pPr>
        <w:pStyle w:val="Heading2"/>
      </w:pPr>
      <w:r>
        <w:t>3. Verificacion de no-alucinacion</w:t>
      </w:r>
    </w:p>
    <w:p>
      <w:r>
        <w:t>- **¿Hay afirmaciones presentadas como hecho sin URL?** En las tablas formales: no. En el cuerpo narrativo: sí, de gravedad BAJA — ver problema 4 (lista de "líderes" en 02; claim de ajuste por encima de IPC en 01). Ninguna es una cifra clave suelta sin respaldo alguno; todas remiten (al menos por Tier) a una fuente ya listada.</w:t>
      </w:r>
    </w:p>
    <w:p>
      <w:r>
        <w:t>- **¿Hay URLs que no resuelven o parecen falsas (por formato)?** No. Las 60 URLs del corpus tienen formato HTTPS válido y coherentes con su dominio declarado. La más larga (`observatoriociudad.org/public/.../003%20-%20Resoluci%C3%B3n...pdf`) está correctamente URL-encodeada (espacios como `%20`), no truncada. Ninguna presenta `...` ni dominios sospechosos.</w:t>
      </w:r>
    </w:p>
    <w:p>
      <w:r>
        <w:t>- **¿Hay mezcla de T1/T2/T3 mal etiquetada?** Sí, de forma estructural — ver problemas 1 y 2. La inconsistencia es de *definición de la escala* entre archivos, no de etiquetas sueltas equivocadas dentro de un mismo archivo. El CONSOLIDADO hereda la mezcla sin normalizar.</w:t>
      </w:r>
    </w:p>
    <w:p>
      <w:r>
        <w:t>*Nota positiva de no-alucinación:* las cifras contradictorias de asociados (672k / 700k / 825.793) se presentan cada una con su propia fuente y el documento explicita la discrepancia en vez de forzar un número único. Los ítems no verificables (facturación, market share oficial, composición de Comisión Directiva 2025-26, CEO actual, vigencia de Staff Médico/Visa, envejecimiento específico de Argentina, salarios reales puntuales, GLP-1 +8%) están **marcados explícitamente** como "Sin información disponible" o "no verificado". Esto es conforme al método SAT y descarta alucinación de datos faltantes.</w:t>
      </w:r>
    </w:p>
    <w:p>
      <w:pPr>
        <w:pStyle w:val="Heading2"/>
      </w:pPr>
      <w:r>
        <w:t>4. Dictamen</w:t>
      </w:r>
    </w:p>
    <w:p>
      <w:r>
        <w:t>APTO-CON-SALVEDADES</w:t>
      </w:r>
    </w:p>
    <w:p>
      <w:r>
        <w:t>*Justificación:* el 100% de los 60 hechos estructurados llevan URL completa y verificable, sin truncamientos ni alucinaciones (lo no disponible está marcado), pero la taxonomía de Tiers no es uniforme entre los tres archivos y el CONSOLIDADO la mezcla sin reconciliar, además de usar IDs numéricos en lugar de reescribir los hechos.</w:t>
      </w:r>
    </w:p>
    <w:p>
      <w:pPr>
        <w:pStyle w:val="Heading2"/>
      </w:pPr>
      <w:r>
        <w:t>5. Recomendacion de uso</w:t>
      </w:r>
    </w:p>
    <w:p>
      <w:r>
        <w:t>El corpus es apto para alimentar el informe final siempre que se (a) unifique la leyenda de Tiers en un solo estándar antes de publicar, (b) se reescriba la columna "Hecho" del CONSOLIDADO con el texto del hecho (no solo el ID), y (c) se añada URL inline a las pocas afirmaciones del cuerpo narrativo señaladas en la sección 2. Las cifras de market share y afiliados por empresa (T3) deben confirmarse contra datasets SSS (T1) antes de usarse en proyección cuantitativa.</w:t>
      </w:r>
    </w:p>
    <w:sectPr w:rsidR="00FC693F" w:rsidRPr="0006063C" w:rsidSect="00034616">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1" behindDoc="1" locked="0" layoutInCell="1" allowOverlap="1">
          <wp:simplePos x="0" y="0"/>
          <wp:positionH relativeFrom="page">
            <wp:align>center</wp:align>
          </wp:positionH>
          <wp:positionV relativeFrom="page">
            <wp:align>center</wp:align>
          </wp:positionV>
          <wp:extent cx="19000000" cy="25000000"/>
          <wp:docPr id="1" name="Picture 1"/>
          <a:graphic xmlns:a="http://schemas.openxmlformats.org/drawingml/2006/main" xmlns:pic="http://schemas.openxmlformats.org/drawingml/2006/picture">
            <a:graphicData uri="http://schemas.openxmlformats.org/drawingml/2006/picture">
              <pic:pic>
                <pic:nvPicPr>
                  <pic:cNvPr id="0" name="_wm_tmp.png"/>
                  <pic:cNvPicPr/>
                </pic:nvPicPr>
                <pic:blipFill>
                  <a:blip r:embed="rId1"/>
                  <a:stretch>
                    <a:fillRect/>
                  </a:stretch>
                </pic:blipFill>
                <pic:spPr>
                  <a:xfrm>
                    <a:off x="0" y="0"/>
                    <a:ext cx="19000000" cy="2500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readOnly" w:enforcement="1" w:cookieProtected="1" w:hash="ab84459e96bf545a5137bb4b94927bdb0485f180" w:salt="b1a14a48eccbc39000aeb5d7b72852a2" w:algorithmSid="SH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