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before="2200"/>
        <w:ind/>
        <w:jc w:val="center"/>
        <w:rPr/>
      </w:pPr>
      <w:r>
        <w:rPr>
          <w:b/>
          <w:bCs/>
          <w:color w:val="1a3a5c"/>
          <w:sz w:val="44"/>
          <w:szCs w:val="44"/>
        </w:rPr>
        <w:t xml:space="preserve">CREDIT RISK MODELING REPORT</w:t>
      </w:r>
      <w:r/>
    </w:p>
    <w:p>
      <w:pPr>
        <w:pBdr/>
        <w:spacing w:after="300"/>
        <w:ind/>
        <w:jc w:val="center"/>
        <w:rPr/>
      </w:pPr>
      <w:r>
        <w:rPr>
          <w:b/>
          <w:bCs/>
          <w:color w:val="e05c5c"/>
          <w:sz w:val="26"/>
          <w:szCs w:val="26"/>
        </w:rPr>
        <w:t xml:space="preserve">Basel II/III Expected Loss Framework</w:t>
      </w:r>
      <w:r/>
    </w:p>
    <w:p>
      <w:pPr>
        <w:pBdr/>
        <w:spacing w:after="600"/>
        <w:ind/>
        <w:jc w:val="center"/>
        <w:rPr/>
      </w:pPr>
      <w:r>
        <w:rPr>
          <w:color w:val="444444"/>
          <w:sz w:val="22"/>
          <w:szCs w:val="22"/>
        </w:rPr>
        <w:t xml:space="preserve">Lending Club Loan Portfolio — 2007–2018</w:t>
      </w:r>
      <w:r/>
    </w:p>
    <w:p>
      <w:pPr>
        <w:pBdr/>
        <w:spacing w:after="80"/>
        <w:ind/>
        <w:jc w:val="center"/>
        <w:rPr/>
      </w:pPr>
      <w:r>
        <w:rPr>
          <w:color w:val="222222"/>
          <w:sz w:val="20"/>
          <w:szCs w:val="20"/>
        </w:rPr>
        <w:t xml:space="preserve">Project: Financial Risk Analysis</w:t>
      </w:r>
      <w:r/>
    </w:p>
    <w:p>
      <w:pPr>
        <w:pBdr/>
        <w:spacing w:after="80"/>
        <w:ind/>
        <w:jc w:val="center"/>
        <w:rPr/>
      </w:pPr>
      <w:r>
        <w:rPr>
          <w:color w:val="222222"/>
          <w:sz w:val="20"/>
          <w:szCs w:val="20"/>
        </w:rPr>
        <w:t xml:space="preserve">Scope: Stages 5–9 — Data Preparation, PD, LGD, EAD, Portfolio EL</w:t>
      </w:r>
      <w:r/>
    </w:p>
    <w:p>
      <w:pPr>
        <w:pBdr/>
        <w:spacing w:after="80"/>
        <w:ind/>
        <w:jc w:val="center"/>
        <w:rPr/>
      </w:pPr>
      <w:r>
        <w:rPr>
          <w:color w:val="222222"/>
          <w:sz w:val="20"/>
          <w:szCs w:val="20"/>
        </w:rPr>
        <w:t xml:space="preserve">Date: July 2026</w:t>
      </w:r>
      <w:r/>
    </w:p>
    <w:p>
      <w:pPr>
        <w:pBdr/>
        <w:spacing w:after="700"/>
        <w:ind/>
        <w:jc w:val="center"/>
        <w:rPr/>
      </w:pPr>
      <w:r>
        <w:rPr>
          <w:color w:val="222222"/>
          <w:sz w:val="20"/>
          <w:szCs w:val="20"/>
        </w:rPr>
        <w:t xml:space="preserve">Author: Diego Gomez</w:t>
      </w:r>
      <w:r/>
    </w:p>
    <w:p>
      <w:pPr>
        <w:pBdr/>
        <w:spacing/>
        <w:ind/>
        <w:jc w:val="center"/>
        <w:rPr/>
      </w:pPr>
      <w:r>
        <w:rPr>
          <w:b/>
          <w:bCs/>
          <w:color w:val="e05c5c"/>
          <w:sz w:val="18"/>
          <w:szCs w:val="18"/>
        </w:rPr>
        <w:t xml:space="preserve">CONFIDENTIAL</w:t>
      </w:r>
      <w:r/>
    </w:p>
    <w:p>
      <w:pPr>
        <w:pBdr/>
        <w:spacing/>
        <w:ind/>
        <w:rPr/>
      </w:pPr>
      <w:r>
        <w:br w:type="page" w:clear="all"/>
      </w:r>
      <w:r/>
    </w:p>
    <w:p>
      <w:pPr>
        <w:pStyle w:val="747"/>
        <w:pBdr/>
        <w:spacing/>
        <w:ind/>
        <w:rPr/>
      </w:pPr>
      <w:r>
        <w:t xml:space="preserve">Table of Contents</w:t>
      </w:r>
      <w:r/>
    </w:p>
    <w:p>
      <w:pPr>
        <w:pBdr/>
        <w:spacing w:after="100"/>
        <w:ind/>
        <w:rPr/>
      </w:pPr>
      <w:r/>
      <w:hyperlink w:tooltip="#exec-summary" w:anchor="exec-summary" w:history="1">
        <w:r>
          <w:rPr>
            <w:b/>
            <w:bCs/>
            <w:color w:val="1a3a5c"/>
            <w:sz w:val="21"/>
            <w:szCs w:val="21"/>
          </w:rPr>
          <w:t xml:space="preserve">Executive Summary</w:t>
        </w:r>
      </w:hyperlink>
      <w:r/>
      <w:r/>
    </w:p>
    <w:p>
      <w:pPr>
        <w:pBdr/>
        <w:spacing w:after="100"/>
        <w:ind/>
        <w:rPr/>
      </w:pPr>
      <w:r/>
      <w:hyperlink w:tooltip="#sec-1" w:anchor="sec-1" w:history="1">
        <w:r>
          <w:rPr>
            <w:b/>
            <w:bCs/>
            <w:color w:val="1a3a5c"/>
            <w:sz w:val="21"/>
            <w:szCs w:val="21"/>
          </w:rPr>
          <w:t xml:space="preserve">1. Framework Overview</w:t>
        </w:r>
      </w:hyperlink>
      <w:r/>
      <w:r/>
    </w:p>
    <w:p>
      <w:pPr>
        <w:pBdr/>
        <w:spacing w:after="100"/>
        <w:ind/>
        <w:rPr/>
      </w:pPr>
      <w:r/>
      <w:hyperlink w:tooltip="#sec-2" w:anchor="sec-2" w:history="1">
        <w:r>
          <w:rPr>
            <w:b/>
            <w:bCs/>
            <w:color w:val="1a3a5c"/>
            <w:sz w:val="21"/>
            <w:szCs w:val="21"/>
          </w:rPr>
          <w:t xml:space="preserve">2. Data Preparation (Stage 5)</w:t>
        </w:r>
      </w:hyperlink>
      <w:r/>
      <w:r/>
    </w:p>
    <w:p>
      <w:pPr>
        <w:pBdr/>
        <w:spacing w:after="60"/>
        <w:ind w:left="360"/>
        <w:rPr/>
      </w:pPr>
      <w:r/>
      <w:hyperlink w:tooltip="#sec-2-1" w:anchor="sec-2-1" w:history="1">
        <w:r>
          <w:rPr>
            <w:b w:val="0"/>
            <w:bCs w:val="0"/>
            <w:color w:val="444444"/>
            <w:sz w:val="19"/>
            <w:szCs w:val="19"/>
          </w:rPr>
          <w:t xml:space="preserve">2.1 Dataset</w:t>
        </w:r>
      </w:hyperlink>
      <w:r/>
      <w:r/>
    </w:p>
    <w:p>
      <w:pPr>
        <w:pBdr/>
        <w:spacing w:after="60"/>
        <w:ind w:left="360"/>
        <w:rPr/>
      </w:pPr>
      <w:r/>
      <w:hyperlink w:tooltip="#sec-2-2" w:anchor="sec-2-2" w:history="1">
        <w:r>
          <w:rPr>
            <w:b w:val="0"/>
            <w:bCs w:val="0"/>
            <w:color w:val="444444"/>
            <w:sz w:val="19"/>
            <w:szCs w:val="19"/>
          </w:rPr>
          <w:t xml:space="preserve">2.2 Out-of-Time Split</w:t>
        </w:r>
      </w:hyperlink>
      <w:r/>
      <w:r/>
    </w:p>
    <w:p>
      <w:pPr>
        <w:pBdr/>
        <w:spacing w:after="60"/>
        <w:ind w:left="360"/>
        <w:rPr/>
      </w:pPr>
      <w:r/>
      <w:hyperlink w:tooltip="#sec-2-3" w:anchor="sec-2-3" w:history="1">
        <w:r>
          <w:rPr>
            <w:b w:val="0"/>
            <w:bCs w:val="0"/>
            <w:color w:val="444444"/>
            <w:sz w:val="19"/>
            <w:szCs w:val="19"/>
          </w:rPr>
          <w:t xml:space="preserve">2.3 Leakage Prevention</w:t>
        </w:r>
      </w:hyperlink>
      <w:r/>
      <w:r/>
    </w:p>
    <w:p>
      <w:pPr>
        <w:pBdr/>
        <w:spacing w:after="60"/>
        <w:ind w:left="360"/>
        <w:rPr/>
      </w:pPr>
      <w:r/>
      <w:hyperlink w:tooltip="#sec-2-4" w:anchor="sec-2-4" w:history="1">
        <w:r>
          <w:rPr>
            <w:b w:val="0"/>
            <w:bCs w:val="0"/>
            <w:color w:val="444444"/>
            <w:sz w:val="19"/>
            <w:szCs w:val="19"/>
          </w:rPr>
          <w:t xml:space="preserve">2.4 Redundant Feature Removal</w:t>
        </w:r>
      </w:hyperlink>
      <w:r/>
      <w:r/>
    </w:p>
    <w:p>
      <w:pPr>
        <w:pBdr/>
        <w:spacing w:after="100"/>
        <w:ind/>
        <w:rPr/>
      </w:pPr>
      <w:r/>
      <w:hyperlink w:tooltip="#sec-3" w:anchor="sec-3" w:history="1">
        <w:r>
          <w:rPr>
            <w:b/>
            <w:bCs/>
            <w:color w:val="1a3a5c"/>
            <w:sz w:val="21"/>
            <w:szCs w:val="21"/>
          </w:rPr>
          <w:t xml:space="preserve">3. Probability of Default Model (Stage 6)</w:t>
        </w:r>
      </w:hyperlink>
      <w:r/>
      <w:r/>
    </w:p>
    <w:p>
      <w:pPr>
        <w:pBdr/>
        <w:spacing w:after="60"/>
        <w:ind w:left="360"/>
        <w:rPr/>
      </w:pPr>
      <w:r/>
      <w:hyperlink w:tooltip="#sec-3-1" w:anchor="sec-3-1" w:history="1">
        <w:r>
          <w:rPr>
            <w:b w:val="0"/>
            <w:bCs w:val="0"/>
            <w:color w:val="444444"/>
            <w:sz w:val="19"/>
            <w:szCs w:val="19"/>
          </w:rPr>
          <w:t xml:space="preserve">3.1 Modelling Approach</w:t>
        </w:r>
      </w:hyperlink>
      <w:r/>
      <w:r/>
    </w:p>
    <w:p>
      <w:pPr>
        <w:pBdr/>
        <w:spacing w:after="60"/>
        <w:ind w:left="360"/>
        <w:rPr/>
      </w:pPr>
      <w:r/>
      <w:hyperlink w:tooltip="#sec-3-2" w:anchor="sec-3-2" w:history="1">
        <w:r>
          <w:rPr>
            <w:b w:val="0"/>
            <w:bCs w:val="0"/>
            <w:color w:val="444444"/>
            <w:sz w:val="19"/>
            <w:szCs w:val="19"/>
          </w:rPr>
          <w:t xml:space="preserve">3.2 Results</w:t>
        </w:r>
      </w:hyperlink>
      <w:r/>
      <w:r/>
    </w:p>
    <w:p>
      <w:pPr>
        <w:pBdr/>
        <w:spacing w:after="100"/>
        <w:ind/>
        <w:rPr/>
      </w:pPr>
      <w:r/>
      <w:hyperlink w:tooltip="#sec-4" w:anchor="sec-4" w:history="1">
        <w:r>
          <w:rPr>
            <w:b/>
            <w:bCs/>
            <w:color w:val="1a3a5c"/>
            <w:sz w:val="21"/>
            <w:szCs w:val="21"/>
          </w:rPr>
          <w:t xml:space="preserve">4. Loss Given Default Model (Stage 7)</w:t>
        </w:r>
      </w:hyperlink>
      <w:r/>
      <w:r/>
    </w:p>
    <w:p>
      <w:pPr>
        <w:pBdr/>
        <w:spacing w:after="60"/>
        <w:ind w:left="360"/>
        <w:rPr/>
      </w:pPr>
      <w:r/>
      <w:hyperlink w:tooltip="#sec-4-1" w:anchor="sec-4-1" w:history="1">
        <w:r>
          <w:rPr>
            <w:b w:val="0"/>
            <w:bCs w:val="0"/>
            <w:color w:val="444444"/>
            <w:sz w:val="19"/>
            <w:szCs w:val="19"/>
          </w:rPr>
          <w:t xml:space="preserve">4.1 Target Definition</w:t>
        </w:r>
      </w:hyperlink>
      <w:r/>
      <w:r/>
    </w:p>
    <w:p>
      <w:pPr>
        <w:pBdr/>
        <w:spacing w:after="60"/>
        <w:ind w:left="360"/>
        <w:rPr/>
      </w:pPr>
      <w:r/>
      <w:hyperlink w:tooltip="#sec-4-2" w:anchor="sec-4-2" w:history="1">
        <w:r>
          <w:rPr>
            <w:b w:val="0"/>
            <w:bCs w:val="0"/>
            <w:color w:val="444444"/>
            <w:sz w:val="19"/>
            <w:szCs w:val="19"/>
          </w:rPr>
          <w:t xml:space="preserve">4.2 Cure Rate Analysis</w:t>
        </w:r>
      </w:hyperlink>
      <w:r/>
      <w:r/>
    </w:p>
    <w:p>
      <w:pPr>
        <w:pBdr/>
        <w:spacing w:after="60"/>
        <w:ind w:left="360"/>
        <w:rPr/>
      </w:pPr>
      <w:r/>
      <w:hyperlink w:tooltip="#sec-4-3" w:anchor="sec-4-3" w:history="1">
        <w:r>
          <w:rPr>
            <w:b w:val="0"/>
            <w:bCs w:val="0"/>
            <w:color w:val="444444"/>
            <w:sz w:val="19"/>
            <w:szCs w:val="19"/>
          </w:rPr>
          <w:t xml:space="preserve">4.3 Severity Model Results</w:t>
        </w:r>
      </w:hyperlink>
      <w:r/>
      <w:r/>
    </w:p>
    <w:p>
      <w:pPr>
        <w:pBdr/>
        <w:spacing w:after="100"/>
        <w:ind/>
        <w:rPr/>
      </w:pPr>
      <w:r/>
      <w:hyperlink w:tooltip="#sec-5" w:anchor="sec-5" w:history="1">
        <w:r>
          <w:rPr>
            <w:b/>
            <w:bCs/>
            <w:color w:val="1a3a5c"/>
            <w:sz w:val="21"/>
            <w:szCs w:val="21"/>
          </w:rPr>
          <w:t xml:space="preserve">5. Exposure at Default Model (Stage 8)</w:t>
        </w:r>
      </w:hyperlink>
      <w:r/>
      <w:r/>
    </w:p>
    <w:p>
      <w:pPr>
        <w:pBdr/>
        <w:spacing w:after="60"/>
        <w:ind w:left="360"/>
        <w:rPr/>
      </w:pPr>
      <w:r/>
      <w:hyperlink w:tooltip="#sec-5-1" w:anchor="sec-5-1" w:history="1">
        <w:r>
          <w:rPr>
            <w:b w:val="0"/>
            <w:bCs w:val="0"/>
            <w:color w:val="444444"/>
            <w:sz w:val="19"/>
            <w:szCs w:val="19"/>
          </w:rPr>
          <w:t xml:space="preserve">5.1 Amortisation Framework</w:t>
        </w:r>
      </w:hyperlink>
      <w:r/>
      <w:r/>
    </w:p>
    <w:p>
      <w:pPr>
        <w:pBdr/>
        <w:spacing w:after="60"/>
        <w:ind w:left="360"/>
        <w:rPr/>
      </w:pPr>
      <w:r/>
      <w:hyperlink w:tooltip="#sec-5-2" w:anchor="sec-5-2" w:history="1">
        <w:r>
          <w:rPr>
            <w:b w:val="0"/>
            <w:bCs w:val="0"/>
            <w:color w:val="444444"/>
            <w:sz w:val="19"/>
            <w:szCs w:val="19"/>
          </w:rPr>
          <w:t xml:space="preserve">5.2 Descriptive Statistics</w:t>
        </w:r>
      </w:hyperlink>
      <w:r/>
      <w:r/>
    </w:p>
    <w:p>
      <w:pPr>
        <w:pBdr/>
        <w:spacing w:after="60"/>
        <w:ind w:left="360"/>
        <w:rPr/>
      </w:pPr>
      <w:r/>
      <w:hyperlink w:tooltip="#sec-5-3" w:anchor="sec-5-3" w:history="1">
        <w:r>
          <w:rPr>
            <w:b w:val="0"/>
            <w:bCs w:val="0"/>
            <w:color w:val="444444"/>
            <w:sz w:val="19"/>
            <w:szCs w:val="19"/>
          </w:rPr>
          <w:t xml:space="preserve">5.3 CCF Model Results</w:t>
        </w:r>
      </w:hyperlink>
      <w:r/>
      <w:r/>
    </w:p>
    <w:p>
      <w:pPr>
        <w:pBdr/>
        <w:spacing w:after="100"/>
        <w:ind/>
        <w:rPr/>
      </w:pPr>
      <w:r/>
      <w:hyperlink w:tooltip="#sec-6" w:anchor="sec-6" w:history="1">
        <w:r>
          <w:rPr>
            <w:b/>
            <w:bCs/>
            <w:color w:val="1a3a5c"/>
            <w:sz w:val="21"/>
            <w:szCs w:val="21"/>
          </w:rPr>
          <w:t xml:space="preserve">6. Portfolio Expected Loss (Stage 9)</w:t>
        </w:r>
      </w:hyperlink>
      <w:r/>
      <w:r/>
    </w:p>
    <w:p>
      <w:pPr>
        <w:pBdr/>
        <w:spacing w:after="60"/>
        <w:ind w:left="360"/>
        <w:rPr/>
      </w:pPr>
      <w:r/>
      <w:hyperlink w:tooltip="#sec-6-1" w:anchor="sec-6-1" w:history="1">
        <w:r>
          <w:rPr>
            <w:b w:val="0"/>
            <w:bCs w:val="0"/>
            <w:color w:val="444444"/>
            <w:sz w:val="19"/>
            <w:szCs w:val="19"/>
          </w:rPr>
          <w:t xml:space="preserve">6.1 Portfolio Summary</w:t>
        </w:r>
      </w:hyperlink>
      <w:r/>
      <w:r/>
    </w:p>
    <w:p>
      <w:pPr>
        <w:pBdr/>
        <w:spacing w:after="60"/>
        <w:ind w:left="360"/>
        <w:rPr/>
      </w:pPr>
      <w:r/>
      <w:hyperlink w:tooltip="#sec-6-2" w:anchor="sec-6-2" w:history="1">
        <w:r>
          <w:rPr>
            <w:b w:val="0"/>
            <w:bCs w:val="0"/>
            <w:color w:val="444444"/>
            <w:sz w:val="19"/>
            <w:szCs w:val="19"/>
          </w:rPr>
          <w:t xml:space="preserve">6.2 EL by Grade</w:t>
        </w:r>
      </w:hyperlink>
      <w:r/>
      <w:r/>
    </w:p>
    <w:p>
      <w:pPr>
        <w:pBdr/>
        <w:spacing w:after="60"/>
        <w:ind w:left="360"/>
        <w:rPr/>
      </w:pPr>
      <w:r/>
      <w:hyperlink w:tooltip="#sec-6-3" w:anchor="sec-6-3" w:history="1">
        <w:r>
          <w:rPr>
            <w:b w:val="0"/>
            <w:bCs w:val="0"/>
            <w:color w:val="444444"/>
            <w:sz w:val="19"/>
            <w:szCs w:val="19"/>
          </w:rPr>
          <w:t xml:space="preserve">6.3 EL by Loan Purpose</w:t>
        </w:r>
      </w:hyperlink>
      <w:r/>
      <w:r/>
    </w:p>
    <w:p>
      <w:pPr>
        <w:pBdr/>
        <w:spacing w:after="60"/>
        <w:ind w:left="360"/>
        <w:rPr/>
      </w:pPr>
      <w:r/>
      <w:hyperlink w:tooltip="#sec-6-4" w:anchor="sec-6-4" w:history="1">
        <w:r>
          <w:rPr>
            <w:b w:val="0"/>
            <w:bCs w:val="0"/>
            <w:color w:val="444444"/>
            <w:sz w:val="19"/>
            <w:szCs w:val="19"/>
          </w:rPr>
          <w:t xml:space="preserve">6.4 Model Calibration</w:t>
        </w:r>
      </w:hyperlink>
      <w:r/>
      <w:r/>
    </w:p>
    <w:p>
      <w:pPr>
        <w:pBdr/>
        <w:spacing w:after="100"/>
        <w:ind/>
        <w:rPr/>
      </w:pPr>
      <w:r/>
      <w:hyperlink w:tooltip="#sec-7" w:anchor="sec-7" w:history="1">
        <w:r>
          <w:rPr>
            <w:b/>
            <w:bCs/>
            <w:color w:val="1a3a5c"/>
            <w:sz w:val="21"/>
            <w:szCs w:val="21"/>
          </w:rPr>
          <w:t xml:space="preserve">7. Key Findings &amp; Recommendations</w:t>
        </w:r>
      </w:hyperlink>
      <w:r/>
      <w:r/>
    </w:p>
    <w:p>
      <w:pPr>
        <w:pBdr/>
        <w:spacing w:after="60"/>
        <w:ind w:left="360"/>
        <w:rPr/>
      </w:pPr>
      <w:r/>
      <w:hyperlink w:tooltip="#sec-7-1" w:anchor="sec-7-1" w:history="1">
        <w:r>
          <w:rPr>
            <w:b w:val="0"/>
            <w:bCs w:val="0"/>
            <w:color w:val="444444"/>
            <w:sz w:val="19"/>
            <w:szCs w:val="19"/>
          </w:rPr>
          <w:t xml:space="preserve">7.1 Summary of Findings</w:t>
        </w:r>
      </w:hyperlink>
      <w:r/>
      <w:r/>
    </w:p>
    <w:p>
      <w:pPr>
        <w:pBdr/>
        <w:spacing w:after="60"/>
        <w:ind w:left="360"/>
        <w:rPr/>
      </w:pPr>
      <w:r/>
      <w:hyperlink w:tooltip="#sec-7-2" w:anchor="sec-7-2" w:history="1">
        <w:r>
          <w:rPr>
            <w:b w:val="0"/>
            <w:bCs w:val="0"/>
            <w:color w:val="444444"/>
            <w:sz w:val="19"/>
            <w:szCs w:val="19"/>
          </w:rPr>
          <w:t xml:space="preserve">7.2 Recommendations</w:t>
        </w:r>
      </w:hyperlink>
      <w:r/>
      <w:r/>
    </w:p>
    <w:p>
      <w:pPr>
        <w:pBdr/>
        <w:spacing/>
        <w:ind/>
        <w:rPr/>
      </w:pPr>
      <w:r>
        <w:br w:type="page" w:clear="all"/>
      </w:r>
      <w:r/>
    </w:p>
    <w:p>
      <w:pPr>
        <w:pStyle w:val="747"/>
        <w:pBdr/>
        <w:spacing/>
        <w:ind/>
        <w:rPr/>
      </w:pPr>
      <w:r/>
      <w:bookmarkStart w:id="1" w:name="exec-summary"/>
      <w:r>
        <w:t xml:space="preserve">Executive Summary</w:t>
      </w:r>
      <w:bookmarkEnd w:id="1"/>
      <w:r/>
      <w:r/>
    </w:p>
    <w:p>
      <w:pPr>
        <w:pBdr/>
        <w:spacing w:after="160" w:line="276" w:lineRule="auto"/>
        <w:ind/>
        <w:rPr/>
      </w:pPr>
      <w:r>
        <w:t xml:space="preserve">This report presents the results of a Basel II/III Expected Loss </w:t>
      </w:r>
      <w:r>
        <w:t xml:space="preserve">(EL) credit risk model built on the Lending Club peer-to-peer lending dataset, covering 1.37 million loans ($19.84 billion in originations) originated between 2007 and 2018. The framework decomposes credit risk into three independently modelled components:</w:t>
      </w:r>
      <w:r/>
    </w:p>
    <w:p>
      <w:pPr>
        <w:pStyle w:val="739"/>
        <w:numPr>
          <w:ilvl w:val="0"/>
          <w:numId w:val="2"/>
        </w:numPr>
        <w:pBdr/>
        <w:spacing w:after="80"/>
        <w:ind/>
        <w:rPr/>
      </w:pPr>
      <w:r>
        <w:t xml:space="preserve">Probability of Default (PD): likelihood a borrower fails to repay</w:t>
      </w:r>
      <w:r/>
    </w:p>
    <w:p>
      <w:pPr>
        <w:pStyle w:val="739"/>
        <w:numPr>
          <w:ilvl w:val="0"/>
          <w:numId w:val="2"/>
        </w:numPr>
        <w:pBdr/>
        <w:spacing w:after="80"/>
        <w:ind/>
        <w:rPr/>
      </w:pPr>
      <w:r>
        <w:t xml:space="preserve">Loss Given Default (LGD): fraction of exposure lost if default occurs</w:t>
      </w:r>
      <w:r/>
    </w:p>
    <w:p>
      <w:pPr>
        <w:pStyle w:val="739"/>
        <w:numPr>
          <w:ilvl w:val="0"/>
          <w:numId w:val="2"/>
        </w:numPr>
        <w:pBdr/>
        <w:spacing w:after="80"/>
        <w:ind/>
        <w:rPr/>
      </w:pPr>
      <w:r>
        <w:t xml:space="preserve">Exposure at Default (EAD): outstanding principal at the moment of default</w:t>
      </w:r>
      <w:r/>
    </w:p>
    <w:p>
      <w:pPr>
        <w:pBdr/>
        <w:spacing w:after="80"/>
        <w:ind/>
        <w:rPr/>
      </w:pPr>
      <w:r/>
      <w:r/>
    </w:p>
    <w:p>
      <w:pPr>
        <w:pBdr/>
        <w:spacing w:after="160" w:line="276" w:lineRule="auto"/>
        <w:ind/>
        <w:rPr/>
      </w:pPr>
      <w:r>
        <w:t xml:space="preserve">An out-of-time validation methodology was applied throughout: models were trained on 2007–2016 originations and tested on the 2017–2018 cohort. This prevents data leakage and mirrors real-world model deployment conditions.</w:t>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1.37M</w:t>
            </w:r>
            <w:r/>
          </w:p>
          <w:p>
            <w:pPr>
              <w:pBdr/>
              <w:spacing w:after="20"/>
              <w:ind/>
              <w:rPr/>
            </w:pPr>
            <w:r>
              <w:rPr>
                <w:b/>
                <w:bCs/>
                <w:color w:val="222222"/>
                <w:sz w:val="17"/>
                <w:szCs w:val="17"/>
              </w:rPr>
              <w:t xml:space="preserve">Total Loans</w:t>
            </w:r>
            <w:r/>
          </w:p>
          <w:p>
            <w:pPr>
              <w:pBdr/>
              <w:spacing/>
              <w:ind/>
              <w:rPr/>
            </w:pPr>
            <w:r>
              <w:rPr>
                <w:i/>
                <w:iCs/>
                <w:color w:val="444444"/>
                <w:sz w:val="15"/>
                <w:szCs w:val="15"/>
              </w:rPr>
              <w:t xml:space="preserve">$19.84B volume</w:t>
            </w:r>
            <w:r/>
          </w:p>
        </w:tc>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0.6831</w:t>
            </w:r>
            <w:r/>
          </w:p>
          <w:p>
            <w:pPr>
              <w:pBdr/>
              <w:spacing w:after="20"/>
              <w:ind/>
              <w:rPr/>
            </w:pPr>
            <w:r>
              <w:rPr>
                <w:b/>
                <w:bCs/>
                <w:color w:val="222222"/>
                <w:sz w:val="17"/>
                <w:szCs w:val="17"/>
              </w:rPr>
              <w:t xml:space="preserve">PD Model AUC</w:t>
            </w:r>
            <w:r/>
          </w:p>
          <w:p>
            <w:pPr>
              <w:pBdr/>
              <w:spacing/>
              <w:ind/>
              <w:rPr/>
            </w:pPr>
            <w:r>
              <w:rPr>
                <w:i/>
                <w:iCs/>
                <w:color w:val="444444"/>
                <w:sz w:val="15"/>
                <w:szCs w:val="15"/>
              </w:rPr>
              <w:t xml:space="preserve">Logistic Regression champion</w:t>
            </w:r>
            <w:r/>
          </w:p>
        </w:tc>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$2,806M</w:t>
            </w:r>
            <w:r/>
          </w:p>
          <w:p>
            <w:pPr>
              <w:pBdr/>
              <w:spacing w:after="20"/>
              <w:ind/>
              <w:rPr/>
            </w:pPr>
            <w:r>
              <w:rPr>
                <w:b/>
                <w:bCs/>
                <w:color w:val="222222"/>
                <w:sz w:val="17"/>
                <w:szCs w:val="17"/>
              </w:rPr>
              <w:t xml:space="preserve">Total Portfolio EL</w:t>
            </w:r>
            <w:r/>
          </w:p>
          <w:p>
            <w:pPr>
              <w:pBdr/>
              <w:spacing/>
              <w:ind/>
              <w:rPr/>
            </w:pPr>
            <w:r>
              <w:rPr>
                <w:i/>
                <w:iCs/>
                <w:color w:val="444444"/>
                <w:sz w:val="15"/>
                <w:szCs w:val="15"/>
              </w:rPr>
              <w:t xml:space="preserve">13.10% mean EL rate</w:t>
            </w:r>
            <w:r/>
          </w:p>
        </w:tc>
      </w:tr>
    </w:tbl>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0.2163</w:t>
            </w:r>
            <w:r/>
          </w:p>
          <w:p>
            <w:pPr>
              <w:pBdr/>
              <w:spacing w:after="20"/>
              <w:ind/>
              <w:rPr/>
            </w:pPr>
            <w:r>
              <w:rPr>
                <w:b/>
                <w:bCs/>
                <w:color w:val="222222"/>
                <w:sz w:val="17"/>
                <w:szCs w:val="17"/>
              </w:rPr>
              <w:t xml:space="preserve">LGD Test MAE</w:t>
            </w:r>
            <w:r/>
          </w:p>
          <w:p>
            <w:pPr>
              <w:pBdr/>
              <w:spacing/>
              <w:ind/>
              <w:rPr/>
            </w:pPr>
            <w:r>
              <w:rPr>
                <w:i/>
                <w:iCs/>
                <w:color w:val="444444"/>
                <w:sz w:val="15"/>
                <w:szCs w:val="15"/>
              </w:rPr>
              <w:t xml:space="preserve">−19% vs naive baseline</w:t>
            </w:r>
            <w:r/>
          </w:p>
        </w:tc>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0.1908</w:t>
            </w:r>
            <w:r/>
          </w:p>
          <w:p>
            <w:pPr>
              <w:pBdr/>
              <w:spacing w:after="20"/>
              <w:ind/>
              <w:rPr/>
            </w:pPr>
            <w:r>
              <w:rPr>
                <w:b/>
                <w:bCs/>
                <w:color w:val="222222"/>
                <w:sz w:val="17"/>
                <w:szCs w:val="17"/>
              </w:rPr>
              <w:t xml:space="preserve">EAD Test MAE</w:t>
            </w:r>
            <w:r/>
          </w:p>
          <w:p>
            <w:pPr>
              <w:pBdr/>
              <w:spacing/>
              <w:ind/>
              <w:rPr/>
            </w:pPr>
            <w:r>
              <w:rPr>
                <w:i/>
                <w:iCs/>
                <w:color w:val="444444"/>
                <w:sz w:val="15"/>
                <w:szCs w:val="15"/>
              </w:rPr>
              <w:t xml:space="preserve">−7% vs naive baseline</w:t>
            </w:r>
            <w:r/>
          </w:p>
        </w:tc>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1.54×</w:t>
            </w:r>
            <w:r/>
          </w:p>
          <w:p>
            <w:pPr>
              <w:pBdr/>
              <w:spacing w:after="20"/>
              <w:ind/>
              <w:rPr/>
            </w:pPr>
            <w:r>
              <w:rPr>
                <w:b/>
                <w:bCs/>
                <w:color w:val="222222"/>
                <w:sz w:val="17"/>
                <w:szCs w:val="17"/>
              </w:rPr>
              <w:t xml:space="preserve">Calibration Ratio</w:t>
            </w:r>
            <w:r/>
          </w:p>
          <w:p>
            <w:pPr>
              <w:pBdr/>
              <w:spacing/>
              <w:ind/>
              <w:rPr/>
            </w:pPr>
            <w:r>
              <w:rPr>
                <w:i/>
                <w:iCs/>
                <w:color w:val="444444"/>
                <w:sz w:val="15"/>
                <w:szCs w:val="15"/>
              </w:rPr>
              <w:t xml:space="preserve">Train set predicted/actual</w:t>
            </w:r>
            <w:r/>
          </w:p>
        </w:tc>
      </w:tr>
    </w:tbl>
    <w:p>
      <w:pPr>
        <w:pBdr/>
        <w:spacing w:after="200"/>
        <w:ind/>
        <w:rPr/>
      </w:pPr>
      <w:r/>
      <w:r/>
    </w:p>
    <w:p>
      <w:pPr>
        <w:pBdr/>
        <w:spacing w:after="160" w:line="276" w:lineRule="auto"/>
        <w:ind/>
        <w:rPr/>
      </w:pPr>
      <w:r>
        <w:t xml:space="preserve">The PD model (Logistic Regression) correctly ranks borrowers by risk with an out-of-ti</w:t>
      </w:r>
      <w:r>
        <w:t xml:space="preserve">me AUC of 0.6831 and KS statistic of 0.2667. EL rates increase monotonically from grade A (5.33%) to grade G (34.52%), confirming that the model’s risk ordering aligns with Lending Club’s own rating structure. The portfolio exhibits high concentration in d</w:t>
      </w:r>
      <w:r>
        <w:t xml:space="preserve">ebt consolidation loans, which account for 64.5% of total expected losses despite carrying only a middle-of-the-range EL rate — credit card loans add a further 18.8%, so the two largest refinancing purposes together account for 83.3% of total portfolio EL.</w:t>
      </w:r>
      <w:r/>
    </w:p>
    <w:p>
      <w:pPr>
        <w:pBdr/>
        <w:spacing w:after="160" w:line="276" w:lineRule="auto"/>
        <w:ind/>
        <w:rPr/>
      </w:pPr>
      <w:r>
        <w:t xml:space="preserve">A systematic over-</w:t>
      </w:r>
      <w:r>
        <w:t xml:space="preserve">prediction of 1.54× on the training set is identified and attributed to the balanced-class-weight regularisation applied during PD model training. Platt scaling of predicted probabilities is recommended as the primary improvement for production deployment.</w:t>
      </w:r>
      <w:r/>
    </w:p>
    <w:p>
      <w:pPr>
        <w:pBdr/>
        <w:spacing/>
        <w:ind/>
        <w:rPr/>
      </w:pPr>
      <w:r>
        <w:br w:type="page" w:clear="all"/>
      </w:r>
      <w:r/>
    </w:p>
    <w:p>
      <w:pPr>
        <w:pStyle w:val="747"/>
        <w:pBdr/>
        <w:spacing/>
        <w:ind/>
        <w:rPr/>
      </w:pPr>
      <w:r/>
      <w:bookmarkStart w:id="1" w:name="sec-1"/>
      <w:r>
        <w:t xml:space="preserve">1. Framework Overview</w:t>
      </w:r>
      <w:bookmarkEnd w:id="1"/>
      <w:r/>
      <w:r/>
    </w:p>
    <w:p>
      <w:pPr>
        <w:pBdr/>
        <w:spacing w:after="160" w:line="276" w:lineRule="auto"/>
        <w:ind/>
        <w:rPr/>
      </w:pPr>
      <w:r>
        <w:t xml:space="preserve">The Basel II/III credit risk framework quantifies the expected loss on a loan portfolio as:</w:t>
      </w:r>
      <w:r/>
    </w:p>
    <w:p>
      <w:pPr>
        <w:pBdr/>
        <w:spacing w:after="200" w:before="100"/>
        <w:ind/>
        <w:jc w:val="center"/>
        <w:rPr/>
      </w:pPr>
      <w:r>
        <w:rPr>
          <w:b/>
          <w:bCs/>
          <w:color w:val="1a3a5c"/>
          <w:sz w:val="26"/>
          <w:szCs w:val="26"/>
        </w:rPr>
        <w:t xml:space="preserve">EL ($) = PD × LGD × EAD</w:t>
      </w:r>
      <w:r/>
    </w:p>
    <w:p>
      <w:pPr>
        <w:pBdr/>
        <w:spacing w:after="160" w:line="276" w:lineRule="auto"/>
        <w:ind/>
        <w:rPr/>
      </w:pPr>
      <w:r>
        <w:t xml:space="preserve">Each component captures a distinct dimension of credit risk. Together they produce a dollar-denominated provision that a bank must hold against expected future losses. This report covers Stages 5 through 9 of the project:</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2400"/>
        <w:gridCol w:w="4760"/>
        <w:gridCol w:w="150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700" w:type="dxa"/>
            <w:vAlign w:val="center"/>
          </w:tcPr>
          <w:p>
            <w:pPr>
              <w:pBdr/>
              <w:spacing/>
              <w:ind/>
              <w:rPr/>
            </w:pPr>
            <w:r>
              <w:rPr>
                <w:b/>
                <w:bCs/>
                <w:color w:val="ffffff"/>
                <w:sz w:val="18"/>
                <w:szCs w:val="18"/>
              </w:rPr>
              <w:t xml:space="preserve">Stage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400" w:type="dxa"/>
            <w:vAlign w:val="center"/>
          </w:tcPr>
          <w:p>
            <w:pPr>
              <w:pBdr/>
              <w:spacing/>
              <w:ind/>
              <w:rPr/>
            </w:pPr>
            <w:r>
              <w:rPr>
                <w:b/>
                <w:bCs/>
                <w:color w:val="ffffff"/>
                <w:sz w:val="18"/>
                <w:szCs w:val="18"/>
              </w:rPr>
              <w:t xml:space="preserve">Notebook</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4760" w:type="dxa"/>
            <w:vAlign w:val="center"/>
          </w:tcPr>
          <w:p>
            <w:pPr>
              <w:pBdr/>
              <w:spacing/>
              <w:ind/>
              <w:rPr/>
            </w:pPr>
            <w:r>
              <w:rPr>
                <w:b/>
                <w:bCs/>
                <w:color w:val="ffffff"/>
                <w:sz w:val="18"/>
                <w:szCs w:val="18"/>
              </w:rPr>
              <w:t xml:space="preserve">Description</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500" w:type="dxa"/>
            <w:vAlign w:val="center"/>
          </w:tcPr>
          <w:p>
            <w:pPr>
              <w:pBdr/>
              <w:spacing/>
              <w:ind/>
              <w:rPr/>
            </w:pPr>
            <w:r>
              <w:rPr>
                <w:b/>
                <w:bCs/>
                <w:color w:val="ffffff"/>
                <w:sz w:val="18"/>
                <w:szCs w:val="18"/>
              </w:rPr>
              <w:t xml:space="preserve">Output</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700" w:type="dxa"/>
            <w:vAlign w:val="center"/>
          </w:tcPr>
          <w:p>
            <w:pPr>
              <w:pBdr/>
              <w:spacing/>
              <w:ind/>
              <w:jc w:val="left"/>
              <w:rPr/>
            </w:pPr>
            <w:r>
              <w:rPr>
                <w:b w:val="0"/>
                <w:bCs w:val="0"/>
                <w:color w:val="222222"/>
                <w:sz w:val="18"/>
                <w:szCs w:val="18"/>
              </w:rPr>
              <w:t xml:space="preserve">5</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400" w:type="dxa"/>
            <w:vAlign w:val="center"/>
          </w:tcPr>
          <w:p>
            <w:pPr>
              <w:pBdr/>
              <w:spacing/>
              <w:ind/>
              <w:jc w:val="right"/>
              <w:rPr/>
            </w:pPr>
            <w:r>
              <w:rPr>
                <w:b w:val="0"/>
                <w:bCs w:val="0"/>
                <w:color w:val="222222"/>
                <w:sz w:val="18"/>
                <w:szCs w:val="18"/>
              </w:rPr>
              <w:t xml:space="preserve">05_data_preparation</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760" w:type="dxa"/>
            <w:vAlign w:val="center"/>
          </w:tcPr>
          <w:p>
            <w:pPr>
              <w:pBdr/>
              <w:spacing/>
              <w:ind/>
              <w:jc w:val="right"/>
              <w:rPr/>
            </w:pPr>
            <w:r>
              <w:rPr>
                <w:b w:val="0"/>
                <w:bCs w:val="0"/>
                <w:color w:val="222222"/>
                <w:sz w:val="18"/>
                <w:szCs w:val="18"/>
              </w:rPr>
              <w:t xml:space="preserve">Feature selection, leakage removal, multicollinearity check, out-of-time split</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00" w:type="dxa"/>
            <w:vAlign w:val="center"/>
          </w:tcPr>
          <w:p>
            <w:pPr>
              <w:pBdr/>
              <w:spacing/>
              <w:ind/>
              <w:jc w:val="right"/>
              <w:rPr/>
            </w:pPr>
            <w:r>
              <w:rPr>
                <w:b w:val="0"/>
                <w:bCs w:val="0"/>
                <w:color w:val="222222"/>
                <w:sz w:val="18"/>
                <w:szCs w:val="18"/>
              </w:rPr>
              <w:t xml:space="preserve">6 parquet files</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700" w:type="dxa"/>
            <w:vAlign w:val="center"/>
          </w:tcPr>
          <w:p>
            <w:pPr>
              <w:pBdr/>
              <w:spacing/>
              <w:ind/>
              <w:jc w:val="left"/>
              <w:rPr/>
            </w:pPr>
            <w:r>
              <w:rPr>
                <w:b w:val="0"/>
                <w:bCs w:val="0"/>
                <w:color w:val="222222"/>
                <w:sz w:val="18"/>
                <w:szCs w:val="18"/>
              </w:rPr>
              <w:t xml:space="preserve">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400" w:type="dxa"/>
            <w:vAlign w:val="center"/>
          </w:tcPr>
          <w:p>
            <w:pPr>
              <w:pBdr/>
              <w:spacing/>
              <w:ind/>
              <w:jc w:val="right"/>
              <w:rPr/>
            </w:pPr>
            <w:r>
              <w:rPr>
                <w:b w:val="0"/>
                <w:bCs w:val="0"/>
                <w:color w:val="222222"/>
                <w:sz w:val="18"/>
                <w:szCs w:val="18"/>
              </w:rPr>
              <w:t xml:space="preserve">06_PD_model</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760" w:type="dxa"/>
            <w:vAlign w:val="center"/>
          </w:tcPr>
          <w:p>
            <w:pPr>
              <w:pBdr/>
              <w:spacing/>
              <w:ind/>
              <w:jc w:val="right"/>
              <w:rPr/>
            </w:pPr>
            <w:r>
              <w:rPr>
                <w:b w:val="0"/>
                <w:bCs w:val="0"/>
                <w:color w:val="222222"/>
                <w:sz w:val="18"/>
                <w:szCs w:val="18"/>
              </w:rPr>
              <w:t xml:space="preserve">Probability of Default (binary classification)</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00" w:type="dxa"/>
            <w:vAlign w:val="center"/>
          </w:tcPr>
          <w:p>
            <w:pPr>
              <w:pBdr/>
              <w:spacing/>
              <w:ind/>
              <w:jc w:val="right"/>
              <w:rPr/>
            </w:pPr>
            <w:r>
              <w:rPr>
                <w:b w:val="0"/>
                <w:bCs w:val="0"/>
                <w:color w:val="222222"/>
                <w:sz w:val="18"/>
                <w:szCs w:val="18"/>
              </w:rPr>
              <w:t xml:space="preserve">pd_scores.parquet</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700" w:type="dxa"/>
            <w:vAlign w:val="center"/>
          </w:tcPr>
          <w:p>
            <w:pPr>
              <w:pBdr/>
              <w:spacing/>
              <w:ind/>
              <w:jc w:val="left"/>
              <w:rPr/>
            </w:pPr>
            <w:r>
              <w:rPr>
                <w:b w:val="0"/>
                <w:bCs w:val="0"/>
                <w:color w:val="222222"/>
                <w:sz w:val="18"/>
                <w:szCs w:val="18"/>
              </w:rPr>
              <w:t xml:space="preserve">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400" w:type="dxa"/>
            <w:vAlign w:val="center"/>
          </w:tcPr>
          <w:p>
            <w:pPr>
              <w:pBdr/>
              <w:spacing/>
              <w:ind/>
              <w:jc w:val="right"/>
              <w:rPr/>
            </w:pPr>
            <w:r>
              <w:rPr>
                <w:b w:val="0"/>
                <w:bCs w:val="0"/>
                <w:color w:val="222222"/>
                <w:sz w:val="18"/>
                <w:szCs w:val="18"/>
              </w:rPr>
              <w:t xml:space="preserve">07_LGD_model</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760" w:type="dxa"/>
            <w:vAlign w:val="center"/>
          </w:tcPr>
          <w:p>
            <w:pPr>
              <w:pBdr/>
              <w:spacing/>
              <w:ind/>
              <w:jc w:val="right"/>
              <w:rPr/>
            </w:pPr>
            <w:r>
              <w:rPr>
                <w:b w:val="0"/>
                <w:bCs w:val="0"/>
                <w:color w:val="222222"/>
                <w:sz w:val="18"/>
                <w:szCs w:val="18"/>
              </w:rPr>
              <w:t xml:space="preserve">Loss Given Default (severity regression)</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00" w:type="dxa"/>
            <w:vAlign w:val="center"/>
          </w:tcPr>
          <w:p>
            <w:pPr>
              <w:pBdr/>
              <w:spacing/>
              <w:ind/>
              <w:jc w:val="right"/>
              <w:rPr/>
            </w:pPr>
            <w:r>
              <w:rPr>
                <w:b w:val="0"/>
                <w:bCs w:val="0"/>
                <w:color w:val="222222"/>
                <w:sz w:val="18"/>
                <w:szCs w:val="18"/>
              </w:rPr>
              <w:t xml:space="preserve">lgd_scores.parquet</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700" w:type="dxa"/>
            <w:vAlign w:val="center"/>
          </w:tcPr>
          <w:p>
            <w:pPr>
              <w:pBdr/>
              <w:spacing/>
              <w:ind/>
              <w:jc w:val="left"/>
              <w:rPr/>
            </w:pPr>
            <w:r>
              <w:rPr>
                <w:b w:val="0"/>
                <w:bCs w:val="0"/>
                <w:color w:val="222222"/>
                <w:sz w:val="18"/>
                <w:szCs w:val="18"/>
              </w:rPr>
              <w:t xml:space="preserve">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400" w:type="dxa"/>
            <w:vAlign w:val="center"/>
          </w:tcPr>
          <w:p>
            <w:pPr>
              <w:pBdr/>
              <w:spacing/>
              <w:ind/>
              <w:jc w:val="right"/>
              <w:rPr/>
            </w:pPr>
            <w:r>
              <w:rPr>
                <w:b w:val="0"/>
                <w:bCs w:val="0"/>
                <w:color w:val="222222"/>
                <w:sz w:val="18"/>
                <w:szCs w:val="18"/>
              </w:rPr>
              <w:t xml:space="preserve">08_EAD_model</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760" w:type="dxa"/>
            <w:vAlign w:val="center"/>
          </w:tcPr>
          <w:p>
            <w:pPr>
              <w:pBdr/>
              <w:spacing/>
              <w:ind/>
              <w:jc w:val="right"/>
              <w:rPr/>
            </w:pPr>
            <w:r>
              <w:rPr>
                <w:b w:val="0"/>
                <w:bCs w:val="0"/>
                <w:color w:val="222222"/>
                <w:sz w:val="18"/>
                <w:szCs w:val="18"/>
              </w:rPr>
              <w:t xml:space="preserve">Exposure at Default (CCF amortisation model)</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00" w:type="dxa"/>
            <w:vAlign w:val="center"/>
          </w:tcPr>
          <w:p>
            <w:pPr>
              <w:pBdr/>
              <w:spacing/>
              <w:ind/>
              <w:jc w:val="right"/>
              <w:rPr/>
            </w:pPr>
            <w:r>
              <w:rPr>
                <w:b w:val="0"/>
                <w:bCs w:val="0"/>
                <w:color w:val="222222"/>
                <w:sz w:val="18"/>
                <w:szCs w:val="18"/>
              </w:rPr>
              <w:t xml:space="preserve">ead_scores.parquet</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700" w:type="dxa"/>
            <w:vAlign w:val="center"/>
          </w:tcPr>
          <w:p>
            <w:pPr>
              <w:pBdr/>
              <w:spacing/>
              <w:ind/>
              <w:jc w:val="left"/>
              <w:rPr/>
            </w:pPr>
            <w:r>
              <w:rPr>
                <w:b w:val="0"/>
                <w:bCs w:val="0"/>
                <w:color w:val="222222"/>
                <w:sz w:val="18"/>
                <w:szCs w:val="18"/>
              </w:rPr>
              <w:t xml:space="preserve">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400" w:type="dxa"/>
            <w:vAlign w:val="center"/>
          </w:tcPr>
          <w:p>
            <w:pPr>
              <w:pBdr/>
              <w:spacing/>
              <w:ind/>
              <w:jc w:val="right"/>
              <w:rPr/>
            </w:pPr>
            <w:r>
              <w:rPr>
                <w:b w:val="0"/>
                <w:bCs w:val="0"/>
                <w:color w:val="222222"/>
                <w:sz w:val="18"/>
                <w:szCs w:val="18"/>
              </w:rPr>
              <w:t xml:space="preserve">09_Expected_Loss_portfolio</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760" w:type="dxa"/>
            <w:vAlign w:val="center"/>
          </w:tcPr>
          <w:p>
            <w:pPr>
              <w:pBdr/>
              <w:spacing/>
              <w:ind/>
              <w:jc w:val="right"/>
              <w:rPr/>
            </w:pPr>
            <w:r>
              <w:rPr>
                <w:b w:val="0"/>
                <w:bCs w:val="0"/>
                <w:color w:val="222222"/>
                <w:sz w:val="18"/>
                <w:szCs w:val="18"/>
              </w:rPr>
              <w:t xml:space="preserve">EL = PD × LGD × EAD, portfolio aggregation</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00" w:type="dxa"/>
            <w:vAlign w:val="center"/>
          </w:tcPr>
          <w:p>
            <w:pPr>
              <w:pBdr/>
              <w:spacing/>
              <w:ind/>
              <w:jc w:val="right"/>
              <w:rPr/>
            </w:pPr>
            <w:r>
              <w:rPr>
                <w:b w:val="0"/>
                <w:bCs w:val="0"/>
                <w:color w:val="222222"/>
                <w:sz w:val="18"/>
                <w:szCs w:val="18"/>
              </w:rPr>
              <w:t xml:space="preserve">Portfolio report</w:t>
            </w:r>
            <w:r/>
          </w:p>
        </w:tc>
      </w:tr>
    </w:tbl>
    <w:p>
      <w:pPr>
        <w:pBdr/>
        <w:spacing/>
        <w:ind/>
        <w:rPr/>
      </w:pPr>
      <w:r>
        <w:br w:type="page" w:clear="all"/>
      </w:r>
      <w:r/>
    </w:p>
    <w:p>
      <w:pPr>
        <w:pStyle w:val="747"/>
        <w:pBdr/>
        <w:spacing/>
        <w:ind/>
        <w:rPr/>
      </w:pPr>
      <w:r/>
      <w:bookmarkStart w:id="1" w:name="sec-2"/>
      <w:r>
        <w:t xml:space="preserve">2. Data Preparation (Stage 5)</w:t>
      </w:r>
      <w:bookmarkEnd w:id="1"/>
      <w:r/>
      <w:r/>
    </w:p>
    <w:p>
      <w:pPr>
        <w:pStyle w:val="748"/>
        <w:pBdr/>
        <w:spacing/>
        <w:ind/>
        <w:rPr/>
      </w:pPr>
      <w:r/>
      <w:bookmarkStart w:id="1" w:name="sec-2-1"/>
      <w:r>
        <w:t xml:space="preserve">2.1 Dataset</w:t>
      </w:r>
      <w:bookmarkEnd w:id="1"/>
      <w:r/>
      <w:r/>
    </w:p>
    <w:p>
      <w:pPr>
        <w:pBdr/>
        <w:spacing w:after="160" w:line="276" w:lineRule="auto"/>
        <w:ind/>
        <w:rPr/>
      </w:pPr>
      <w:r>
        <w:t xml:space="preserve">The Lending Club dataset covers all loans originated between 2007 and 2018, providing a complete picture of the platform’s credit history from in</w:t>
      </w:r>
      <w:r>
        <w:t xml:space="preserve">ception through maturity. After cleaning (Stages 1–4), the analytical dataset contains 1,371,165 loans across 20 features. After leakage removal and multicollinearity checks (below), the modelling feature set used for PD training is reduced to 15 features.</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4680" w:type="dxa"/>
            <w:vAlign w:val="center"/>
          </w:tcPr>
          <w:p>
            <w:pPr>
              <w:pBdr/>
              <w:spacing/>
              <w:ind/>
              <w:rPr/>
            </w:pPr>
            <w:r>
              <w:rPr>
                <w:b/>
                <w:bCs/>
                <w:color w:val="ffffff"/>
                <w:sz w:val="18"/>
                <w:szCs w:val="18"/>
              </w:rPr>
              <w:t xml:space="preserve">Attribute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4680" w:type="dxa"/>
            <w:vAlign w:val="center"/>
          </w:tcPr>
          <w:p>
            <w:pPr>
              <w:pBdr/>
              <w:spacing/>
              <w:ind/>
              <w:rPr/>
            </w:pPr>
            <w:r>
              <w:rPr>
                <w:b/>
                <w:bCs/>
                <w:color w:val="ffffff"/>
                <w:sz w:val="18"/>
                <w:szCs w:val="18"/>
              </w:rPr>
              <w:t xml:space="preserve">Value</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Total loans</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1,371,165</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Total loan volume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$19.84 billion</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Date range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2007–2018</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Cleaned dataset columns</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20</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PD modelling feature count</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15</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Train set (2007–2016)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1,127,206 loans (82.2%)</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Test set (2017–2018)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243,959 loans (17.8%)</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Train default rate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20.23%</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left"/>
              <w:rPr/>
            </w:pPr>
            <w:r>
              <w:rPr>
                <w:b w:val="0"/>
                <w:bCs w:val="0"/>
                <w:color w:val="222222"/>
                <w:sz w:val="18"/>
                <w:szCs w:val="18"/>
              </w:rPr>
              <w:t xml:space="preserve">Test default rate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680" w:type="dxa"/>
            <w:vAlign w:val="center"/>
          </w:tcPr>
          <w:p>
            <w:pPr>
              <w:pBdr/>
              <w:spacing/>
              <w:ind/>
              <w:jc w:val="right"/>
              <w:rPr/>
            </w:pPr>
            <w:r>
              <w:rPr>
                <w:b w:val="0"/>
                <w:bCs w:val="0"/>
                <w:color w:val="222222"/>
                <w:sz w:val="18"/>
                <w:szCs w:val="18"/>
              </w:rPr>
              <w:t xml:space="preserve">27.20% (censored — see below)</w:t>
            </w:r>
            <w:r/>
          </w:p>
        </w:tc>
      </w:tr>
    </w:tbl>
    <w:p>
      <w:pPr>
        <w:pBdr/>
        <w:spacing w:after="200"/>
        <w:ind/>
        <w:rPr/>
      </w:pPr>
      <w:r/>
      <w:r/>
    </w:p>
    <w:p>
      <w:pPr>
        <w:pStyle w:val="748"/>
        <w:pBdr/>
        <w:spacing/>
        <w:ind/>
        <w:rPr/>
      </w:pPr>
      <w:r/>
      <w:bookmarkStart w:id="1" w:name="sec-2-2"/>
      <w:r>
        <w:t xml:space="preserve">2.2 Out-of-Time Split</w:t>
      </w:r>
      <w:bookmarkEnd w:id="1"/>
      <w:r/>
      <w:r/>
    </w:p>
    <w:p>
      <w:pPr>
        <w:pBdr/>
        <w:spacing w:after="160" w:line="276" w:lineRule="auto"/>
        <w:ind/>
        <w:rPr/>
      </w:pPr>
      <w:r>
        <w:t xml:space="preserve">Models are trained on 2007–2016 originations and evaluated on the 2017–2018 cohort. This out-of-time (OOT) split is t</w:t>
      </w:r>
      <w:r>
        <w:t xml:space="preserve">he industry standard for credit model validation: it prevents the model from being evaluated on loans whose outcomes it has implicitly seen during training, mimicking real deployment conditions where the model scores new borrowers it has never encountered.</w:t>
      </w:r>
      <w:r/>
    </w:p>
    <w:p>
      <w:pPr>
        <w:pBdr/>
        <w:spacing w:after="160" w:line="276" w:lineRule="auto"/>
        <w:ind/>
        <w:rPr/>
      </w:pPr>
      <w:r>
        <w:t xml:space="preserve">The test set shows a higher observed default rate (27.20%) than the training set (20.23%). This is a known</w:t>
      </w:r>
      <w:r>
        <w:t xml:space="preserve"> artefact of loan maturity censoring: the 2017–2018 loans had not fully run to maturity when the dataset was compiled. A loan can be flagged as default within months, while a full repayment generally requires the loan to reach the end of its term — so fast</w:t>
      </w:r>
      <w:r>
        <w:t xml:space="preserve">-resolving defaults are over-represented relative to still-performing loans in the test cohort, inflating the observed default rate above what the fully-matured vintage will likely show. This finding is documented and carried through all subsequent stages.</w:t>
      </w:r>
      <w:r/>
    </w:p>
    <w:p>
      <w:pPr>
        <w:pBdr/>
        <w:spacing w:after="120"/>
        <w:ind/>
        <w:rPr/>
      </w:pPr>
      <w:r/>
      <w:r/>
    </w:p>
    <w:p>
      <w:pPr>
        <w:pStyle w:val="748"/>
        <w:pBdr/>
        <w:spacing/>
        <w:ind/>
        <w:rPr/>
      </w:pPr>
      <w:r/>
      <w:bookmarkStart w:id="1" w:name="sec-2-3"/>
      <w:r>
        <w:t xml:space="preserve">2.3 Leakage Prevention</w:t>
      </w:r>
      <w:bookmarkEnd w:id="1"/>
      <w:r/>
      <w:r/>
    </w:p>
    <w:p>
      <w:pPr>
        <w:pBdr/>
        <w:spacing w:after="160" w:line="276" w:lineRule="auto"/>
        <w:ind/>
        <w:rPr/>
      </w:pPr>
      <w:r>
        <w:t xml:space="preserve">One variable was identified and excluded from all model feature sets:</w:t>
      </w:r>
      <w:r/>
    </w:p>
    <w:p>
      <w:pPr>
        <w:pStyle w:val="739"/>
        <w:numPr>
          <w:ilvl w:val="0"/>
          <w:numId w:val="2"/>
        </w:numPr>
        <w:pBdr/>
        <w:spacing w:after="80"/>
        <w:ind/>
        <w:rPr/>
      </w:pPr>
      <w:r>
        <w:t xml:space="preserve">total_pymnt: total payments received — collected after the loan outcome is known</w:t>
      </w:r>
      <w:r/>
    </w:p>
    <w:p>
      <w:pPr>
        <w:pBdr/>
        <w:spacing w:after="60"/>
        <w:ind/>
        <w:rPr/>
      </w:pPr>
      <w:r/>
      <w:r/>
    </w:p>
    <w:p>
      <w:pPr>
        <w:pBdr/>
        <w:spacing w:after="160" w:line="276" w:lineRule="auto"/>
        <w:ind/>
        <w:rPr/>
      </w:pPr>
      <w:r>
        <w:t xml:space="preserve">This variable is only observable after default status is known, making it post-outcome leakage. Including it would produce artificially high model performance that would not replicate in production.</w:t>
      </w:r>
      <w:r/>
    </w:p>
    <w:p>
      <w:pPr>
        <w:pBdr/>
        <w:spacing w:after="160" w:line="276" w:lineRule="auto"/>
        <w:ind/>
        <w:rPr/>
      </w:pPr>
      <w:r>
        <w:t xml:space="preserve">A related pre-</w:t>
      </w:r>
      <w:r>
        <w:t xml:space="preserve">origination variable, ever_delinq (a flag derived from months since the borrower’s last delinquency, known at underwriting), was reviewed and confirmed to be a legitimate feature — it is known before loan origination and is correctly retained in the model.</w:t>
      </w:r>
      <w:r/>
    </w:p>
    <w:p>
      <w:pPr>
        <w:pBdr/>
        <w:spacing w:after="120"/>
        <w:ind/>
        <w:rPr/>
      </w:pPr>
      <w:r/>
      <w:r/>
    </w:p>
    <w:p>
      <w:pPr>
        <w:pStyle w:val="748"/>
        <w:pBdr/>
        <w:spacing/>
        <w:ind/>
        <w:rPr/>
      </w:pPr>
      <w:r/>
      <w:bookmarkStart w:id="1" w:name="sec-2-4"/>
      <w:r>
        <w:t xml:space="preserve">2.4 Redundant Feature Removal</w:t>
      </w:r>
      <w:bookmarkEnd w:id="1"/>
      <w:r/>
      <w:r/>
    </w:p>
    <w:p>
      <w:pPr>
        <w:pBdr/>
        <w:spacing w:after="160" w:line="276" w:lineRule="auto"/>
        <w:ind/>
        <w:rPr/>
      </w:pPr>
      <w:r>
        <w:t xml:space="preserve">A multicollinearity check on the training set identified two feature pairs that are near-duplicates of each other:</w:t>
      </w:r>
      <w:r/>
    </w:p>
    <w:p>
      <w:pPr>
        <w:pStyle w:val="739"/>
        <w:numPr>
          <w:ilvl w:val="0"/>
          <w:numId w:val="2"/>
        </w:numPr>
        <w:pBdr/>
        <w:spacing w:after="80"/>
        <w:ind/>
        <w:rPr/>
      </w:pPr>
      <w:r>
        <w:t xml:space="preserve">grade and int_rate (r = 0.955) — the platform prices loans almost entirely by grade, so interest rate carries little signal beyond it</w:t>
      </w:r>
      <w:r/>
    </w:p>
    <w:p>
      <w:pPr>
        <w:pStyle w:val="739"/>
        <w:numPr>
          <w:ilvl w:val="0"/>
          <w:numId w:val="2"/>
        </w:numPr>
        <w:pBdr/>
        <w:spacing w:after="80"/>
        <w:ind/>
        <w:rPr/>
      </w:pPr>
      <w:r>
        <w:t xml:space="preserve">loan_amnt and installment (r = 0.954) — installment is arithmetically derived from loan amount, rate, and term</w:t>
      </w:r>
      <w:r/>
    </w:p>
    <w:p>
      <w:pPr>
        <w:pBdr/>
        <w:spacing w:after="60"/>
        <w:ind/>
        <w:rPr/>
      </w:pPr>
      <w:r/>
      <w:r/>
    </w:p>
    <w:p>
      <w:pPr>
        <w:pBdr/>
        <w:spacing w:after="160" w:line="276" w:lineRule="auto"/>
        <w:ind/>
        <w:rPr/>
      </w:pPr>
      <w:r>
        <w:t xml:space="preserve">K</w:t>
      </w:r>
      <w:r>
        <w:t xml:space="preserve">eeping both members of a pair adds no predictive power and destabilises a linear model’s coefficients. int_rate and installment are dropped; grade (converted to a numeric ordinal scale, A→G mapped to 1–7) and loan_amnt are kept as the more interpretable, n</w:t>
      </w:r>
      <w:r>
        <w:t xml:space="preserve">on-redundant signal. A softer correlation between total_acc and open_acc (r = 0.699) was reviewed and both features were retained, since each carries meaningful independent variance (r² ≈ 0.49). This reduces the modelling feature set from 17 to 15 columns.</w:t>
      </w:r>
      <w:r/>
    </w:p>
    <w:p>
      <w:pPr>
        <w:pBdr/>
        <w:spacing/>
        <w:ind/>
        <w:rPr/>
      </w:pPr>
      <w:r>
        <w:br w:type="page" w:clear="all"/>
      </w:r>
      <w:r/>
    </w:p>
    <w:p>
      <w:pPr>
        <w:pStyle w:val="747"/>
        <w:pBdr/>
        <w:spacing/>
        <w:ind/>
        <w:rPr/>
      </w:pPr>
      <w:r/>
      <w:bookmarkStart w:id="1" w:name="sec-3"/>
      <w:r>
        <w:t xml:space="preserve">3. Probability of Default Model (Stage 6)</w:t>
      </w:r>
      <w:bookmarkEnd w:id="1"/>
      <w:r/>
      <w:r/>
    </w:p>
    <w:p>
      <w:pPr>
        <w:pStyle w:val="748"/>
        <w:pBdr/>
        <w:spacing/>
        <w:ind/>
        <w:rPr/>
      </w:pPr>
      <w:r/>
      <w:bookmarkStart w:id="1" w:name="sec-3-1"/>
      <w:r>
        <w:t xml:space="preserve">3.1 Modelling Approach</w:t>
      </w:r>
      <w:bookmarkEnd w:id="1"/>
      <w:r/>
      <w:r/>
    </w:p>
    <w:p>
      <w:pPr>
        <w:pBdr/>
        <w:spacing w:after="160" w:line="276" w:lineRule="auto"/>
        <w:ind/>
        <w:rPr/>
      </w:pPr>
      <w:r>
        <w:t xml:space="preserve">The PD model is a binary classification problem: predict whether a loan will default (1) or be fully repaid (0), using the 15-feature set from Stage 5. Two models were trained and compared using out-of-time metrics:</w:t>
      </w:r>
      <w:r/>
    </w:p>
    <w:p>
      <w:pPr>
        <w:pStyle w:val="739"/>
        <w:numPr>
          <w:ilvl w:val="0"/>
          <w:numId w:val="2"/>
        </w:numPr>
        <w:pBdr/>
        <w:spacing w:after="80"/>
        <w:ind/>
        <w:rPr/>
      </w:pPr>
      <w:r>
        <w:t xml:space="preserve">Champion: Logistic Regression with StandardScaler and class_weight=’balanced’</w:t>
      </w:r>
      <w:r/>
    </w:p>
    <w:p>
      <w:pPr>
        <w:pStyle w:val="739"/>
        <w:numPr>
          <w:ilvl w:val="0"/>
          <w:numId w:val="2"/>
        </w:numPr>
        <w:pBdr/>
        <w:spacing w:after="80"/>
        <w:ind/>
        <w:rPr/>
      </w:pPr>
      <w:r>
        <w:t xml:space="preserve">Challenger: LightGBM with scale_pos_weight and early stopping (50 rounds)</w:t>
      </w:r>
      <w:r/>
    </w:p>
    <w:p>
      <w:pPr>
        <w:pBdr/>
        <w:spacing w:after="60"/>
        <w:ind/>
        <w:rPr/>
      </w:pPr>
      <w:r/>
      <w:r/>
    </w:p>
    <w:p>
      <w:pPr>
        <w:pBdr/>
        <w:spacing w:after="160" w:line="276" w:lineRule="auto"/>
        <w:ind/>
        <w:rPr/>
      </w:pPr>
      <w:r>
        <w:t xml:space="preserve">Evaluation used two complementary metrics: AUC-ROC (overall discrimination) and the KS statistic (maximum separation between default and non-default score distributions), which is standard in retail credit risk.</w:t>
      </w:r>
      <w:r/>
    </w:p>
    <w:p>
      <w:pPr>
        <w:pBdr/>
        <w:spacing w:after="120"/>
        <w:ind/>
        <w:rPr/>
      </w:pPr>
      <w:r/>
      <w:r/>
    </w:p>
    <w:p>
      <w:pPr>
        <w:pStyle w:val="748"/>
        <w:pBdr/>
        <w:spacing/>
        <w:ind/>
        <w:rPr/>
      </w:pPr>
      <w:r/>
      <w:bookmarkStart w:id="1" w:name="sec-3-2"/>
      <w:r>
        <w:t xml:space="preserve">3.2 Results</w:t>
      </w:r>
      <w:bookmarkEnd w:id="1"/>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440"/>
        <w:gridCol w:w="1440"/>
        <w:gridCol w:w="1440"/>
        <w:gridCol w:w="1440"/>
        <w:gridCol w:w="144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160" w:type="dxa"/>
            <w:vAlign w:val="center"/>
          </w:tcPr>
          <w:p>
            <w:pPr>
              <w:pBdr/>
              <w:spacing/>
              <w:ind/>
              <w:rPr/>
            </w:pPr>
            <w:r>
              <w:rPr>
                <w:b/>
                <w:bCs/>
                <w:color w:val="ffffff"/>
                <w:sz w:val="18"/>
                <w:szCs w:val="18"/>
              </w:rPr>
              <w:t xml:space="preserve">Model</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440" w:type="dxa"/>
            <w:vAlign w:val="center"/>
          </w:tcPr>
          <w:p>
            <w:pPr>
              <w:pBdr/>
              <w:spacing/>
              <w:ind/>
              <w:rPr/>
            </w:pPr>
            <w:r>
              <w:rPr>
                <w:b/>
                <w:bCs/>
                <w:color w:val="ffffff"/>
                <w:sz w:val="18"/>
                <w:szCs w:val="18"/>
              </w:rPr>
              <w:t xml:space="preserve">Train AUC</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440" w:type="dxa"/>
            <w:vAlign w:val="center"/>
          </w:tcPr>
          <w:p>
            <w:pPr>
              <w:pBdr/>
              <w:spacing/>
              <w:ind/>
              <w:rPr/>
            </w:pPr>
            <w:r>
              <w:rPr>
                <w:b/>
                <w:bCs/>
                <w:color w:val="ffffff"/>
                <w:sz w:val="18"/>
                <w:szCs w:val="18"/>
              </w:rPr>
              <w:t xml:space="preserve">Test AUC</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440" w:type="dxa"/>
            <w:vAlign w:val="center"/>
          </w:tcPr>
          <w:p>
            <w:pPr>
              <w:pBdr/>
              <w:spacing/>
              <w:ind/>
              <w:rPr/>
            </w:pPr>
            <w:r>
              <w:rPr>
                <w:b/>
                <w:bCs/>
                <w:color w:val="ffffff"/>
                <w:sz w:val="18"/>
                <w:szCs w:val="18"/>
              </w:rPr>
              <w:t xml:space="preserve">Test KS</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440" w:type="dxa"/>
            <w:vAlign w:val="center"/>
          </w:tcPr>
          <w:p>
            <w:pPr>
              <w:pBdr/>
              <w:spacing/>
              <w:ind/>
              <w:rPr/>
            </w:pPr>
            <w:r>
              <w:rPr>
                <w:b/>
                <w:bCs/>
                <w:color w:val="ffffff"/>
                <w:sz w:val="18"/>
                <w:szCs w:val="18"/>
              </w:rPr>
              <w:t xml:space="preserve">AUC Gap</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440" w:type="dxa"/>
            <w:vAlign w:val="center"/>
          </w:tcPr>
          <w:p>
            <w:pPr>
              <w:pBdr/>
              <w:spacing/>
              <w:ind/>
              <w:rPr/>
            </w:pPr>
            <w:r>
              <w:rPr>
                <w:b/>
                <w:bCs/>
                <w:color w:val="ffffff"/>
                <w:sz w:val="18"/>
                <w:szCs w:val="18"/>
              </w:rPr>
              <w:t xml:space="preserve">Decision</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Logistic Regression</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0.7060</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0.6831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0.2667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0.0229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CHAMPION</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LightGBM</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0.7062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0.6800</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0.2646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0.0262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Challenger</w:t>
            </w:r>
            <w:r/>
          </w:p>
        </w:tc>
      </w:tr>
    </w:tbl>
    <w:p>
      <w:pPr>
        <w:pBdr/>
        <w:spacing w:after="120"/>
        <w:ind/>
        <w:rPr/>
      </w:pPr>
      <w:r/>
      <w:r/>
    </w:p>
    <w:p>
      <w:pPr>
        <w:pBdr/>
        <w:spacing w:after="160" w:line="276" w:lineRule="auto"/>
        <w:ind/>
        <w:rPr/>
      </w:pPr>
      <w:r>
        <w:t xml:space="preserve">Logistic Regression was selected as the champion mo</w:t>
      </w:r>
      <w:r>
        <w:t xml:space="preserve">del. Although both models achieve similar training performance, Logistic Regression generalises better out-of-time: it has a smaller train-test AUC gap (0.0229 vs 0.0262) and higher test KS. LightGBM shows signs of mild overfitting to the training vintage.</w:t>
      </w:r>
      <w:r/>
    </w:p>
    <w:p>
      <w:pPr>
        <w:pBdr/>
        <w:spacing w:after="160" w:line="276" w:lineRule="auto"/>
        <w:ind/>
        <w:rPr/>
      </w:pPr>
      <w:r>
        <w:t xml:space="preserve">This result is counterintuitive but c</w:t>
      </w:r>
      <w:r>
        <w:t xml:space="preserve">ommon in credit risk: the regulatory environment and relatively limited feature set (15 features, all available at origination) leaves little signal that a complex tree-based model can exploit beyond what a linear model captures. Feature coefficients also </w:t>
      </w:r>
      <w:r>
        <w:t xml:space="preserve">confirm this: grade’s coefficient (0.410) is the single largest in the model — it absorbed most of int_rate’s signal once that column was dropped for multicollinearity in Stage 5. Interpretability is a secondary benefit of the logistic regression champion.</w:t>
      </w:r>
      <w:r/>
    </w:p>
    <w:p>
      <w:pPr>
        <w:pBdr/>
        <w:spacing w:after="80" w:before="120"/>
        <w:ind/>
        <w:jc w:val="center"/>
        <w:rPr/>
      </w:pPr>
      <w:r>
        <mc:AlternateContent>
          <mc:Choice Requires="wpg">
            <w:drawing>
              <wp:inline xmlns:wp="http://schemas.openxmlformats.org/drawingml/2006/wordprocessingDrawing" distT="0" distB="0" distL="0" distR="0">
                <wp:extent cx="5905500" cy="2076450"/>
                <wp:effectExtent l="0" t="0" r="0" b="0"/>
                <wp:docPr id="1" name="pd_evaluation.png" descr="Figure 1 — ROC and calibration curves, out-of-time test set (Logistic Regression vs LightGBM)" title="Figure 1 — ROC and calibration curves, out-of-time test set (Logistic Regression vs LightG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05500" cy="2076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5.00pt;height:163.50pt;mso-wrap-distance-left:0.00pt;mso-wrap-distance-top:0.00pt;mso-wrap-distance-right:0.00pt;mso-wrap-distance-bottom:0.00pt;z-index:1;" stroked="false">
                <v:imagedata r:id="rId11" o:title=""/>
                <o:lock v:ext="edit" rotation="t"/>
              </v:shape>
            </w:pict>
          </mc:Fallback>
        </mc:AlternateContent>
      </w:r>
      <w:r/>
    </w:p>
    <w:p>
      <w:pPr>
        <w:pBdr/>
        <w:spacing w:after="160"/>
        <w:ind/>
        <w:jc w:val="center"/>
        <w:rPr/>
      </w:pPr>
      <w:r>
        <w:rPr>
          <w:i/>
          <w:iCs/>
          <w:color w:val="444444"/>
          <w:sz w:val="16"/>
          <w:szCs w:val="16"/>
        </w:rPr>
        <w:t xml:space="preserve">Figure 1 — ROC and calibration curves, out-of-time test set (Logistic Regression vs LightGBM)</w:t>
      </w:r>
      <w:r/>
    </w:p>
    <w:p>
      <w:pPr>
        <w:pBdr/>
        <w:spacing/>
        <w:ind/>
        <w:rPr/>
      </w:pPr>
      <w:r>
        <w:br w:type="page" w:clear="all"/>
      </w:r>
      <w:r/>
    </w:p>
    <w:p>
      <w:pPr>
        <w:pStyle w:val="747"/>
        <w:pBdr/>
        <w:spacing/>
        <w:ind/>
        <w:rPr/>
      </w:pPr>
      <w:r/>
      <w:bookmarkStart w:id="1" w:name="sec-4"/>
      <w:r>
        <w:t xml:space="preserve">4. Loss Given Default Model (Stage 7)</w:t>
      </w:r>
      <w:bookmarkEnd w:id="1"/>
      <w:r/>
      <w:r/>
    </w:p>
    <w:p>
      <w:pPr>
        <w:pStyle w:val="748"/>
        <w:pBdr/>
        <w:spacing/>
        <w:ind/>
        <w:rPr/>
      </w:pPr>
      <w:r/>
      <w:bookmarkStart w:id="1" w:name="sec-4-1"/>
      <w:r>
        <w:t xml:space="preserve">4.1 Target Definition</w:t>
      </w:r>
      <w:bookmarkEnd w:id="1"/>
      <w:r/>
      <w:r/>
    </w:p>
    <w:p>
      <w:pPr>
        <w:pBdr/>
        <w:spacing w:after="160" w:line="276" w:lineRule="auto"/>
        <w:ind/>
        <w:rPr/>
      </w:pPr>
      <w:r>
        <w:t xml:space="preserve">LGD is defined as the fraction of the outstanding loan amount not recovered after default:</w:t>
      </w:r>
      <w:r/>
    </w:p>
    <w:p>
      <w:pPr>
        <w:pBdr/>
        <w:spacing w:after="200" w:before="100"/>
        <w:ind/>
        <w:jc w:val="center"/>
        <w:rPr/>
      </w:pPr>
      <w:r>
        <w:rPr>
          <w:b/>
          <w:bCs/>
          <w:color w:val="1a3a5c"/>
          <w:sz w:val="22"/>
          <w:szCs w:val="22"/>
        </w:rPr>
        <w:t xml:space="preserve">LGD = 1 − (total_pymnt / loan_amnt), clipped to [0, 1]</w:t>
      </w:r>
      <w:r/>
    </w:p>
    <w:p>
      <w:pPr>
        <w:pBdr/>
        <w:spacing w:after="160" w:line="276" w:lineRule="auto"/>
        <w:ind/>
        <w:rPr/>
      </w:pPr>
      <w:r>
        <w:t xml:space="preserve">The model is estimated on defaulted loans only (294,415 loans in the combined dataset). A cure rate analysis was conducted first to assess whether a two-stage approach (cure rate classifier + severity regressor) was feasible.</w:t>
      </w:r>
      <w:r/>
    </w:p>
    <w:p>
      <w:pPr>
        <w:pBdr/>
        <w:spacing w:after="100"/>
        <w:ind/>
        <w:rPr/>
      </w:pPr>
      <w:r/>
      <w:r/>
    </w:p>
    <w:p>
      <w:pPr>
        <w:pStyle w:val="748"/>
        <w:pBdr/>
        <w:spacing/>
        <w:ind/>
        <w:rPr/>
      </w:pPr>
      <w:r/>
      <w:bookmarkStart w:id="1" w:name="sec-4-2"/>
      <w:r>
        <w:t xml:space="preserve">4.2 Cure Rate Analysis</w:t>
      </w:r>
      <w:bookmarkEnd w:id="1"/>
      <w:r/>
      <w:r/>
    </w:p>
    <w:p>
      <w:pPr>
        <w:pBdr/>
        <w:spacing w:after="160" w:line="276" w:lineRule="auto"/>
        <w:ind/>
        <w:rPr/>
      </w:pPr>
      <w:r>
        <w:t xml:space="preserve">In industry practice, defaulted loans are classified as “cured” (near-full recovery, LGD &lt; 5%) or “non-cured” before modelling severity. However, the out-of-time test exposed a critical data limitation:</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600"/>
        <w:gridCol w:w="1600"/>
        <w:gridCol w:w="396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200" w:type="dxa"/>
            <w:vAlign w:val="center"/>
          </w:tcPr>
          <w:p>
            <w:pPr>
              <w:pBdr/>
              <w:spacing/>
              <w:ind/>
              <w:rPr/>
            </w:pPr>
            <w:r>
              <w:rPr>
                <w:b/>
                <w:bCs/>
                <w:color w:val="ffffff"/>
                <w:sz w:val="18"/>
                <w:szCs w:val="18"/>
              </w:rPr>
              <w:t xml:space="preserve">Split</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600" w:type="dxa"/>
            <w:vAlign w:val="center"/>
          </w:tcPr>
          <w:p>
            <w:pPr>
              <w:pBdr/>
              <w:spacing/>
              <w:ind/>
              <w:rPr/>
            </w:pPr>
            <w:r>
              <w:rPr>
                <w:b/>
                <w:bCs/>
                <w:color w:val="ffffff"/>
                <w:sz w:val="18"/>
                <w:szCs w:val="18"/>
              </w:rPr>
              <w:t xml:space="preserve">Mean LGD</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600" w:type="dxa"/>
            <w:vAlign w:val="center"/>
          </w:tcPr>
          <w:p>
            <w:pPr>
              <w:pBdr/>
              <w:spacing/>
              <w:ind/>
              <w:rPr/>
            </w:pPr>
            <w:r>
              <w:rPr>
                <w:b/>
                <w:bCs/>
                <w:color w:val="ffffff"/>
                <w:sz w:val="18"/>
                <w:szCs w:val="18"/>
              </w:rPr>
              <w:t xml:space="preserve">Cure Rate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3960" w:type="dxa"/>
            <w:vAlign w:val="center"/>
          </w:tcPr>
          <w:p>
            <w:pPr>
              <w:pBdr/>
              <w:spacing/>
              <w:ind/>
              <w:rPr/>
            </w:pPr>
            <w:r>
              <w:rPr>
                <w:b/>
                <w:bCs/>
                <w:color w:val="ffffff"/>
                <w:sz w:val="18"/>
                <w:szCs w:val="18"/>
              </w:rPr>
              <w:t xml:space="preserve">Interpretation</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00" w:type="dxa"/>
            <w:vAlign w:val="center"/>
          </w:tcPr>
          <w:p>
            <w:pPr>
              <w:pBdr/>
              <w:spacing/>
              <w:ind/>
              <w:jc w:val="left"/>
              <w:rPr/>
            </w:pPr>
            <w:r>
              <w:rPr>
                <w:b w:val="0"/>
                <w:bCs w:val="0"/>
                <w:color w:val="222222"/>
                <w:sz w:val="18"/>
                <w:szCs w:val="18"/>
              </w:rPr>
              <w:t xml:space="preserve">Train (2007–2016)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00" w:type="dxa"/>
            <w:vAlign w:val="center"/>
          </w:tcPr>
          <w:p>
            <w:pPr>
              <w:pBdr/>
              <w:spacing/>
              <w:ind/>
              <w:jc w:val="right"/>
              <w:rPr/>
            </w:pPr>
            <w:r>
              <w:rPr>
                <w:b w:val="0"/>
                <w:bCs w:val="0"/>
                <w:color w:val="222222"/>
                <w:sz w:val="18"/>
                <w:szCs w:val="18"/>
              </w:rPr>
              <w:t xml:space="preserve">0.4117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00" w:type="dxa"/>
            <w:vAlign w:val="center"/>
          </w:tcPr>
          <w:p>
            <w:pPr>
              <w:pBdr/>
              <w:spacing/>
              <w:ind/>
              <w:jc w:val="right"/>
              <w:rPr/>
            </w:pPr>
            <w:r>
              <w:rPr>
                <w:b w:val="0"/>
                <w:bCs w:val="0"/>
                <w:color w:val="222222"/>
                <w:sz w:val="18"/>
                <w:szCs w:val="18"/>
              </w:rPr>
              <w:t xml:space="preserve">12.59%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960" w:type="dxa"/>
            <w:vAlign w:val="center"/>
          </w:tcPr>
          <w:p>
            <w:pPr>
              <w:pBdr/>
              <w:spacing/>
              <w:ind/>
              <w:jc w:val="right"/>
              <w:rPr/>
            </w:pPr>
            <w:r>
              <w:rPr>
                <w:b w:val="0"/>
                <w:bCs w:val="0"/>
                <w:color w:val="222222"/>
                <w:sz w:val="18"/>
                <w:szCs w:val="18"/>
              </w:rPr>
              <w:t xml:space="preserve">Loans matured — recoveries observed</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00" w:type="dxa"/>
            <w:vAlign w:val="center"/>
          </w:tcPr>
          <w:p>
            <w:pPr>
              <w:pBdr/>
              <w:spacing/>
              <w:ind/>
              <w:jc w:val="left"/>
              <w:rPr/>
            </w:pPr>
            <w:r>
              <w:rPr>
                <w:b w:val="0"/>
                <w:bCs w:val="0"/>
                <w:color w:val="222222"/>
                <w:sz w:val="18"/>
                <w:szCs w:val="18"/>
              </w:rPr>
              <w:t xml:space="preserve">Test (2017–2018)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00" w:type="dxa"/>
            <w:vAlign w:val="center"/>
          </w:tcPr>
          <w:p>
            <w:pPr>
              <w:pBdr/>
              <w:spacing/>
              <w:ind/>
              <w:jc w:val="right"/>
              <w:rPr/>
            </w:pPr>
            <w:r>
              <w:rPr>
                <w:b w:val="0"/>
                <w:bCs w:val="0"/>
                <w:color w:val="222222"/>
                <w:sz w:val="18"/>
                <w:szCs w:val="18"/>
              </w:rPr>
              <w:t xml:space="preserve">0.6584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00" w:type="dxa"/>
            <w:vAlign w:val="center"/>
          </w:tcPr>
          <w:p>
            <w:pPr>
              <w:pBdr/>
              <w:spacing/>
              <w:ind/>
              <w:jc w:val="right"/>
              <w:rPr/>
            </w:pPr>
            <w:r>
              <w:rPr>
                <w:b w:val="0"/>
                <w:bCs w:val="0"/>
                <w:color w:val="222222"/>
                <w:sz w:val="18"/>
                <w:szCs w:val="18"/>
              </w:rPr>
              <w:t xml:space="preserve">0.37%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960" w:type="dxa"/>
            <w:vAlign w:val="center"/>
          </w:tcPr>
          <w:p>
            <w:pPr>
              <w:pBdr/>
              <w:spacing/>
              <w:ind/>
              <w:jc w:val="right"/>
              <w:rPr/>
            </w:pPr>
            <w:r>
              <w:rPr>
                <w:b w:val="0"/>
                <w:bCs w:val="0"/>
                <w:color w:val="222222"/>
                <w:sz w:val="18"/>
                <w:szCs w:val="18"/>
              </w:rPr>
              <w:t xml:space="preserve">Censored — no time to recover</w:t>
            </w:r>
            <w:r/>
          </w:p>
        </w:tc>
      </w:tr>
    </w:tbl>
    <w:p>
      <w:pPr>
        <w:pBdr/>
        <w:spacing w:after="120"/>
        <w:ind/>
        <w:rPr/>
      </w:pPr>
      <w:r/>
      <w:r/>
    </w:p>
    <w:p>
      <w:pPr>
        <w:pBdr/>
        <w:spacing w:after="160" w:line="276" w:lineRule="auto"/>
        <w:ind/>
        <w:rPr/>
      </w:pPr>
      <w:r>
        <w:t xml:space="preserve">The 2017–2018 defaulted loans had almost no time to generate recovery paymen</w:t>
      </w:r>
      <w:r>
        <w:t xml:space="preserve">ts before the dataset was compiled. Cure rate classifiers trained on the 12.59% training base rate predict near-random AUCs (Logistic Regression: 0.569, LightGBM: 0.506) on the test set. The two-stage model cannot generalise across this censoring boundary.</w:t>
      </w:r>
      <w:r/>
    </w:p>
    <w:p>
      <w:pPr>
        <w:pBdr/>
        <w:spacing w:after="160" w:line="276" w:lineRule="auto"/>
        <w:ind/>
        <w:rPr/>
      </w:pPr>
      <w:r>
        <w:t xml:space="preserve">Decision: the cure rate stage is retained for documentation purposes but excluded from the production estimate. The final LGD model is a severity-only regressor trained exclusively on non-cured training loans.</w:t>
      </w:r>
      <w:r/>
    </w:p>
    <w:p>
      <w:pPr>
        <w:pBdr/>
        <w:spacing w:after="120"/>
        <w:ind/>
        <w:rPr/>
      </w:pPr>
      <w:r/>
      <w:r/>
    </w:p>
    <w:p>
      <w:pPr>
        <w:pStyle w:val="748"/>
        <w:pBdr/>
        <w:spacing/>
        <w:ind/>
        <w:rPr/>
      </w:pPr>
      <w:r/>
      <w:bookmarkStart w:id="1" w:name="sec-4-3"/>
      <w:r>
        <w:t xml:space="preserve">4.3 Severity Model Results</w:t>
      </w:r>
      <w:bookmarkEnd w:id="1"/>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60"/>
        <w:gridCol w:w="1700"/>
        <w:gridCol w:w="1700"/>
        <w:gridCol w:w="1700"/>
        <w:gridCol w:w="170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560" w:type="dxa"/>
            <w:vAlign w:val="center"/>
          </w:tcPr>
          <w:p>
            <w:pPr>
              <w:pBdr/>
              <w:spacing/>
              <w:ind/>
              <w:rPr/>
            </w:pPr>
            <w:r>
              <w:rPr>
                <w:b/>
                <w:bCs/>
                <w:color w:val="ffffff"/>
                <w:sz w:val="18"/>
                <w:szCs w:val="18"/>
              </w:rPr>
              <w:t xml:space="preserve">Approach</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Test MAE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Test RMSE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Test R²</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vs Baseline</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val="0"/>
                <w:bCs w:val="0"/>
                <w:color w:val="222222"/>
                <w:sz w:val="18"/>
                <w:szCs w:val="18"/>
              </w:rPr>
              <w:t xml:space="preserve">Mean baseline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0.2678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0.3061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−1.8517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val="0"/>
                <w:bCs w:val="0"/>
                <w:color w:val="222222"/>
                <w:sz w:val="18"/>
                <w:szCs w:val="18"/>
              </w:rPr>
              <w:t xml:space="preserve">Single-stage LightGBM</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0.2554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0.2938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−1.6277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−5%</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val="0"/>
                <w:bCs w:val="0"/>
                <w:color w:val="222222"/>
                <w:sz w:val="18"/>
                <w:szCs w:val="18"/>
              </w:rPr>
              <w:t xml:space="preserve">Severity model (ours)</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0.2163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0.2533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−0.9526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−19%</w:t>
            </w:r>
            <w:r/>
          </w:p>
        </w:tc>
      </w:tr>
    </w:tbl>
    <w:p>
      <w:pPr>
        <w:pBdr/>
        <w:spacing w:after="120"/>
        <w:ind/>
        <w:rPr/>
      </w:pPr>
      <w:r/>
      <w:r/>
    </w:p>
    <w:p>
      <w:pPr>
        <w:pBdr/>
        <w:spacing w:after="160" w:line="276" w:lineRule="auto"/>
        <w:ind/>
        <w:rPr/>
      </w:pPr>
      <w:r>
        <w:t xml:space="preserve">The severity model (LightGBM trained on non-cured loans only) reduces MAE by 19% versus the mean baseline and 15% versus the single-stage approach. All R² values a</w:t>
      </w:r>
      <w:r>
        <w:t xml:space="preserve">re negative because the test set’s mean LGD (0.6584) differs substantially from the training mean (0.4117) due to censoring. MAE is the appropriate evaluation metric in this setting: it measures absolute prediction error regardless of distributional shift.</w:t>
      </w:r>
      <w:r/>
    </w:p>
    <w:p>
      <w:pPr>
        <w:pBdr/>
        <w:spacing/>
        <w:ind/>
        <w:rPr/>
      </w:pPr>
      <w:r>
        <w:br w:type="page" w:clear="all"/>
      </w:r>
      <w:r/>
    </w:p>
    <w:p>
      <w:pPr>
        <w:pStyle w:val="747"/>
        <w:pBdr/>
        <w:spacing/>
        <w:ind/>
        <w:rPr/>
      </w:pPr>
      <w:r/>
      <w:bookmarkStart w:id="1" w:name="sec-5"/>
      <w:r>
        <w:t xml:space="preserve">5. Exposure at Default Model (Stage 8)</w:t>
      </w:r>
      <w:bookmarkEnd w:id="1"/>
      <w:r/>
      <w:r/>
    </w:p>
    <w:p>
      <w:pPr>
        <w:pStyle w:val="748"/>
        <w:pBdr/>
        <w:spacing/>
        <w:ind/>
        <w:rPr/>
      </w:pPr>
      <w:r/>
      <w:bookmarkStart w:id="1" w:name="sec-5-1"/>
      <w:r>
        <w:t xml:space="preserve">5.1 Amortisation Framework</w:t>
      </w:r>
      <w:bookmarkEnd w:id="1"/>
      <w:r/>
      <w:r/>
    </w:p>
    <w:p>
      <w:pPr>
        <w:pBdr/>
        <w:spacing w:after="160" w:line="276" w:lineRule="auto"/>
        <w:ind/>
        <w:rPr/>
      </w:pPr>
      <w:r>
        <w:t xml:space="preserve">For installment loans, EAD is the remaining principal balance at the time of default. This is computed analytically from the loan’s amortisation schedule:</w:t>
      </w:r>
      <w:r/>
    </w:p>
    <w:p>
      <w:pPr>
        <w:pBdr/>
        <w:spacing w:after="200" w:before="100"/>
        <w:ind/>
        <w:jc w:val="center"/>
        <w:rPr/>
      </w:pPr>
      <w:r>
        <w:rPr>
          <w:b/>
          <w:bCs/>
          <w:color w:val="1a3a5c"/>
          <w:sz w:val="22"/>
          <w:szCs w:val="22"/>
        </w:rPr>
        <w:t xml:space="preserve">B(k) = loan_amnt × (1 + r)ᵏ − installment × [(1 + r)ᵏ − 1] / r</w:t>
      </w:r>
      <w:r/>
    </w:p>
    <w:p>
      <w:pPr>
        <w:pBdr/>
        <w:spacing w:after="160" w:line="276" w:lineRule="auto"/>
        <w:ind/>
        <w:rPr/>
      </w:pPr>
      <w:r>
        <w:t xml:space="preserve">where r = int_rate / 12 is the monthly interest rate and k is the number of payments made before default. The Credit Conversion Factor (CCF = EAD / loan_amnt) is modelled from origination features to generate loan-level EAD estimates.</w:t>
      </w:r>
      <w:r/>
    </w:p>
    <w:p>
      <w:pPr>
        <w:pBdr/>
        <w:spacing w:after="100"/>
        <w:ind/>
        <w:rPr/>
      </w:pPr>
      <w:r/>
      <w:r/>
    </w:p>
    <w:p>
      <w:pPr>
        <w:pStyle w:val="748"/>
        <w:pBdr/>
        <w:spacing/>
        <w:ind/>
        <w:rPr/>
      </w:pPr>
      <w:r/>
      <w:bookmarkStart w:id="1" w:name="sec-5-2"/>
      <w:r>
        <w:t xml:space="preserve">5.2 Descriptive Statistics</w:t>
      </w:r>
      <w:bookmarkEnd w:id="1"/>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60"/>
        <w:gridCol w:w="2700"/>
        <w:gridCol w:w="270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3960" w:type="dxa"/>
            <w:vAlign w:val="center"/>
          </w:tcPr>
          <w:p>
            <w:pPr>
              <w:pBdr/>
              <w:spacing/>
              <w:ind/>
              <w:rPr/>
            </w:pPr>
            <w:r>
              <w:rPr>
                <w:b/>
                <w:bCs/>
                <w:color w:val="ffffff"/>
                <w:sz w:val="18"/>
                <w:szCs w:val="18"/>
              </w:rPr>
              <w:t xml:space="preserve">Metric</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700" w:type="dxa"/>
            <w:vAlign w:val="center"/>
          </w:tcPr>
          <w:p>
            <w:pPr>
              <w:pBdr/>
              <w:spacing/>
              <w:ind/>
              <w:rPr/>
            </w:pPr>
            <w:r>
              <w:rPr>
                <w:b/>
                <w:bCs/>
                <w:color w:val="ffffff"/>
                <w:sz w:val="18"/>
                <w:szCs w:val="18"/>
              </w:rPr>
              <w:t xml:space="preserve">Train (2007–2016)</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700" w:type="dxa"/>
            <w:vAlign w:val="center"/>
          </w:tcPr>
          <w:p>
            <w:pPr>
              <w:pBdr/>
              <w:spacing/>
              <w:ind/>
              <w:rPr/>
            </w:pPr>
            <w:r>
              <w:rPr>
                <w:b/>
                <w:bCs/>
                <w:color w:val="ffffff"/>
                <w:sz w:val="18"/>
                <w:szCs w:val="18"/>
              </w:rPr>
              <w:t xml:space="preserve">Test (2017–2018)</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960" w:type="dxa"/>
            <w:vAlign w:val="center"/>
          </w:tcPr>
          <w:p>
            <w:pPr>
              <w:pBdr/>
              <w:spacing/>
              <w:ind/>
              <w:jc w:val="left"/>
              <w:rPr/>
            </w:pPr>
            <w:r>
              <w:rPr>
                <w:b w:val="0"/>
                <w:bCs w:val="0"/>
                <w:color w:val="222222"/>
                <w:sz w:val="18"/>
                <w:szCs w:val="18"/>
              </w:rPr>
              <w:t xml:space="preserve">Mean EAD ($)</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700" w:type="dxa"/>
            <w:vAlign w:val="center"/>
          </w:tcPr>
          <w:p>
            <w:pPr>
              <w:pBdr/>
              <w:spacing/>
              <w:ind/>
              <w:jc w:val="right"/>
              <w:rPr/>
            </w:pPr>
            <w:r>
              <w:rPr>
                <w:b w:val="0"/>
                <w:bCs w:val="0"/>
                <w:color w:val="222222"/>
                <w:sz w:val="18"/>
                <w:szCs w:val="18"/>
              </w:rPr>
              <w:t xml:space="preserve">$9,879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700" w:type="dxa"/>
            <w:vAlign w:val="center"/>
          </w:tcPr>
          <w:p>
            <w:pPr>
              <w:pBdr/>
              <w:spacing/>
              <w:ind/>
              <w:jc w:val="right"/>
              <w:rPr/>
            </w:pPr>
            <w:r>
              <w:rPr>
                <w:b w:val="0"/>
                <w:bCs w:val="0"/>
                <w:color w:val="222222"/>
                <w:sz w:val="18"/>
                <w:szCs w:val="18"/>
              </w:rPr>
              <w:t xml:space="preserve">$13,312</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960" w:type="dxa"/>
            <w:vAlign w:val="center"/>
          </w:tcPr>
          <w:p>
            <w:pPr>
              <w:pBdr/>
              <w:spacing/>
              <w:ind/>
              <w:jc w:val="left"/>
              <w:rPr/>
            </w:pPr>
            <w:r>
              <w:rPr>
                <w:b w:val="0"/>
                <w:bCs w:val="0"/>
                <w:color w:val="222222"/>
                <w:sz w:val="18"/>
                <w:szCs w:val="18"/>
              </w:rPr>
              <w:t xml:space="preserve">Mean CCF</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700" w:type="dxa"/>
            <w:vAlign w:val="center"/>
          </w:tcPr>
          <w:p>
            <w:pPr>
              <w:pBdr/>
              <w:spacing/>
              <w:ind/>
              <w:jc w:val="right"/>
              <w:rPr/>
            </w:pPr>
            <w:r>
              <w:rPr>
                <w:b w:val="0"/>
                <w:bCs w:val="0"/>
                <w:color w:val="222222"/>
                <w:sz w:val="18"/>
                <w:szCs w:val="18"/>
              </w:rPr>
              <w:t xml:space="preserve">0.6164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700" w:type="dxa"/>
            <w:vAlign w:val="center"/>
          </w:tcPr>
          <w:p>
            <w:pPr>
              <w:pBdr/>
              <w:spacing/>
              <w:ind/>
              <w:jc w:val="right"/>
              <w:rPr/>
            </w:pPr>
            <w:r>
              <w:rPr>
                <w:b w:val="0"/>
                <w:bCs w:val="0"/>
                <w:color w:val="222222"/>
                <w:sz w:val="18"/>
                <w:szCs w:val="18"/>
              </w:rPr>
              <w:t xml:space="preserve">0.8005</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960" w:type="dxa"/>
            <w:vAlign w:val="center"/>
          </w:tcPr>
          <w:p>
            <w:pPr>
              <w:pBdr/>
              <w:spacing/>
              <w:ind/>
              <w:jc w:val="left"/>
              <w:rPr/>
            </w:pPr>
            <w:r>
              <w:rPr>
                <w:b w:val="0"/>
                <w:bCs w:val="0"/>
                <w:color w:val="222222"/>
                <w:sz w:val="18"/>
                <w:szCs w:val="18"/>
              </w:rPr>
              <w:t xml:space="preserve">Median payments made (k)</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700" w:type="dxa"/>
            <w:vAlign w:val="center"/>
          </w:tcPr>
          <w:p>
            <w:pPr>
              <w:pBdr/>
              <w:spacing/>
              <w:ind/>
              <w:jc w:val="right"/>
              <w:rPr/>
            </w:pPr>
            <w:r>
              <w:rPr>
                <w:b w:val="0"/>
                <w:bCs w:val="0"/>
                <w:color w:val="222222"/>
                <w:sz w:val="18"/>
                <w:szCs w:val="18"/>
              </w:rPr>
              <w:t xml:space="preserve">19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700" w:type="dxa"/>
            <w:vAlign w:val="center"/>
          </w:tcPr>
          <w:p>
            <w:pPr>
              <w:pBdr/>
              <w:spacing/>
              <w:ind/>
              <w:jc w:val="right"/>
              <w:rPr/>
            </w:pPr>
            <w:r>
              <w:rPr>
                <w:b w:val="0"/>
                <w:bCs w:val="0"/>
                <w:color w:val="222222"/>
                <w:sz w:val="18"/>
                <w:szCs w:val="18"/>
              </w:rPr>
              <w:t xml:space="preserve">10</w:t>
            </w:r>
            <w:r/>
          </w:p>
        </w:tc>
      </w:tr>
    </w:tbl>
    <w:p>
      <w:pPr>
        <w:pBdr/>
        <w:spacing w:after="120"/>
        <w:ind/>
        <w:rPr/>
      </w:pPr>
      <w:r/>
      <w:r/>
    </w:p>
    <w:p>
      <w:pPr>
        <w:pBdr/>
        <w:spacing w:after="160" w:line="276" w:lineRule="auto"/>
        <w:ind/>
        <w:rPr/>
      </w:pPr>
      <w:r>
        <w:t xml:space="preserve">The same censoring pattern observed in LGD appears in EAD. Test defaults occurred after a median of only 10 payments (vs</w:t>
      </w:r>
      <w:r>
        <w:t xml:space="preserve"> 19 for training defaults), leaving a higher fraction of principal outstanding (CCF 0.80 vs 0.62). The two effects are internally consistent: fast defaults produce both higher LGD (less total recovery) and higher CCF (less principal repaid) simultaneously.</w:t>
      </w:r>
      <w:r/>
    </w:p>
    <w:p>
      <w:pPr>
        <w:pBdr/>
        <w:spacing w:after="120"/>
        <w:ind/>
        <w:rPr/>
      </w:pPr>
      <w:r/>
      <w:r/>
    </w:p>
    <w:p>
      <w:pPr>
        <w:pStyle w:val="748"/>
        <w:pBdr/>
        <w:spacing/>
        <w:ind/>
        <w:rPr/>
      </w:pPr>
      <w:r/>
      <w:bookmarkStart w:id="1" w:name="sec-5-3"/>
      <w:r>
        <w:t xml:space="preserve">5.3 CCF Model Results</w:t>
      </w:r>
      <w:bookmarkEnd w:id="1"/>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60"/>
        <w:gridCol w:w="1700"/>
        <w:gridCol w:w="1700"/>
        <w:gridCol w:w="1700"/>
        <w:gridCol w:w="170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560" w:type="dxa"/>
            <w:vAlign w:val="center"/>
          </w:tcPr>
          <w:p>
            <w:pPr>
              <w:pBdr/>
              <w:spacing/>
              <w:ind/>
              <w:rPr/>
            </w:pPr>
            <w:r>
              <w:rPr>
                <w:b/>
                <w:bCs/>
                <w:color w:val="ffffff"/>
                <w:sz w:val="18"/>
                <w:szCs w:val="18"/>
              </w:rPr>
              <w:t xml:space="preserve">Approach</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Test MAE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Test RMSE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Test R²</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vs Baseline</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val="0"/>
                <w:bCs w:val="0"/>
                <w:color w:val="222222"/>
                <w:sz w:val="18"/>
                <w:szCs w:val="18"/>
              </w:rPr>
              <w:t xml:space="preserve">Mean baseline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0.2048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0.2298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−1.7908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val="0"/>
                <w:bCs w:val="0"/>
                <w:color w:val="222222"/>
                <w:sz w:val="18"/>
                <w:szCs w:val="18"/>
              </w:rPr>
              <w:t xml:space="preserve">Grade × Term segments</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0.2045</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0.2311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−1.8220</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val="0"/>
                <w:bCs w:val="0"/>
                <w:color w:val="222222"/>
                <w:sz w:val="18"/>
                <w:szCs w:val="18"/>
              </w:rPr>
              <w:t xml:space="preserve">LightGBM (ours)</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0.1908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0.2168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−1.4832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−7%</w:t>
            </w:r>
            <w:r/>
          </w:p>
        </w:tc>
      </w:tr>
    </w:tbl>
    <w:p>
      <w:pPr>
        <w:pBdr/>
        <w:spacing w:after="120"/>
        <w:ind/>
        <w:rPr/>
      </w:pPr>
      <w:r/>
      <w:r/>
    </w:p>
    <w:p>
      <w:pPr>
        <w:pBdr/>
        <w:spacing w:after="160" w:line="276" w:lineRule="auto"/>
        <w:ind/>
        <w:rPr/>
      </w:pPr>
      <w:r>
        <w:t xml:space="preserve">The grade × term segment baseline does not improve up</w:t>
      </w:r>
      <w:r>
        <w:t xml:space="preserve">on the simple mean, confirming that CCF is driven by time-to-default rather than loan quality grade. LightGBM reduces absolute error by 7% over the mean baseline. Early stopping triggered at iteration 28, reflecting limited learnable signal at origination.</w:t>
      </w:r>
      <w:r/>
    </w:p>
    <w:p>
      <w:pPr>
        <w:pBdr/>
        <w:spacing/>
        <w:ind/>
        <w:rPr/>
      </w:pPr>
      <w:r>
        <w:br w:type="page" w:clear="all"/>
      </w:r>
      <w:r/>
    </w:p>
    <w:p>
      <w:pPr>
        <w:pStyle w:val="747"/>
        <w:pBdr/>
        <w:spacing/>
        <w:ind/>
        <w:rPr/>
      </w:pPr>
      <w:r/>
      <w:bookmarkStart w:id="1" w:name="sec-6"/>
      <w:r>
        <w:t xml:space="preserve">6. Portfolio Expected Loss (Stage 9)</w:t>
      </w:r>
      <w:bookmarkEnd w:id="1"/>
      <w:r/>
      <w:r/>
    </w:p>
    <w:p>
      <w:pPr>
        <w:pStyle w:val="748"/>
        <w:pBdr/>
        <w:spacing/>
        <w:ind/>
        <w:rPr/>
      </w:pPr>
      <w:r/>
      <w:bookmarkStart w:id="1" w:name="sec-6-1"/>
      <w:r>
        <w:t xml:space="preserve">6.1 Portfolio Summary</w:t>
      </w:r>
      <w:bookmarkEnd w:id="1"/>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$19.84B</w:t>
            </w:r>
            <w:r/>
          </w:p>
          <w:p>
            <w:pPr>
              <w:pBdr/>
              <w:spacing w:after="20"/>
              <w:ind/>
              <w:rPr/>
            </w:pPr>
            <w:r>
              <w:rPr>
                <w:b/>
                <w:bCs/>
                <w:color w:val="222222"/>
                <w:sz w:val="17"/>
                <w:szCs w:val="17"/>
              </w:rPr>
              <w:t xml:space="preserve">Loan Volume</w:t>
            </w:r>
            <w:r/>
          </w:p>
          <w:p>
            <w:pPr>
              <w:pBdr/>
              <w:spacing/>
              <w:ind/>
              <w:rPr/>
            </w:pPr>
            <w:r>
              <w:rPr>
                <w:i/>
                <w:iCs/>
                <w:color w:val="444444"/>
                <w:sz w:val="15"/>
                <w:szCs w:val="15"/>
              </w:rPr>
              <w:t xml:space="preserve">1,371,165 loans</w:t>
            </w:r>
            <w:r/>
          </w:p>
        </w:tc>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$2,806M</w:t>
            </w:r>
            <w:r/>
          </w:p>
          <w:p>
            <w:pPr>
              <w:pBdr/>
              <w:spacing w:after="20"/>
              <w:ind/>
              <w:rPr/>
            </w:pPr>
            <w:r>
              <w:rPr>
                <w:b/>
                <w:bCs/>
                <w:color w:val="222222"/>
                <w:sz w:val="17"/>
                <w:szCs w:val="17"/>
              </w:rPr>
              <w:t xml:space="preserve">Total Predicted EL</w:t>
            </w:r>
            <w:r/>
          </w:p>
          <w:p>
            <w:pPr>
              <w:pBdr/>
              <w:spacing/>
              <w:ind/>
              <w:rPr/>
            </w:pPr>
            <w:r>
              <w:rPr>
                <w:i/>
                <w:iCs/>
                <w:color w:val="444444"/>
                <w:sz w:val="15"/>
                <w:szCs w:val="15"/>
              </w:rPr>
              <w:t xml:space="preserve">13.10% mean EL rate</w:t>
            </w:r>
            <w:r/>
          </w:p>
        </w:tc>
        <w:tc>
          <w:tcPr>
            <w:shd w:val="clear" w:color="auto" w:fill="e7ecf1"/>
            <w:tcBorders>
              <w:top w:val="none" w:color="ffffff" w:sz="0" w:space="0"/>
              <w:left w:val="none" w:color="ffffff" w:sz="0" w:space="0"/>
              <w:bottom w:val="none" w:color="ffffff" w:sz="0" w:space="0"/>
              <w:right w:val="none" w:color="ffffff" w:sz="0" w:space="0"/>
            </w:tcBorders>
            <w:tcMar>
              <w:left w:w="160" w:type="dxa"/>
              <w:top w:w="160" w:type="dxa"/>
              <w:right w:w="160" w:type="dxa"/>
              <w:bottom w:w="160" w:type="dxa"/>
            </w:tcMar>
            <w:tcW w:w="3120" w:type="dxa"/>
          </w:tcPr>
          <w:p>
            <w:pPr>
              <w:pBdr/>
              <w:spacing w:after="40"/>
              <w:ind/>
              <w:rPr/>
            </w:pPr>
            <w:r>
              <w:rPr>
                <w:b/>
                <w:bCs/>
                <w:color w:val="1a3a5c"/>
                <w:sz w:val="32"/>
                <w:szCs w:val="32"/>
              </w:rPr>
              <w:t xml:space="preserve">1.54×</w:t>
            </w:r>
            <w:r/>
          </w:p>
          <w:p>
            <w:pPr>
              <w:pBdr/>
              <w:spacing w:after="20"/>
              <w:ind/>
              <w:rPr/>
            </w:pPr>
            <w:r>
              <w:rPr>
                <w:b/>
                <w:bCs/>
                <w:color w:val="222222"/>
                <w:sz w:val="17"/>
                <w:szCs w:val="17"/>
              </w:rPr>
              <w:t xml:space="preserve">Calibration Ratio</w:t>
            </w:r>
            <w:r/>
          </w:p>
          <w:p>
            <w:pPr>
              <w:pBdr/>
              <w:spacing/>
              <w:ind/>
              <w:rPr/>
            </w:pPr>
            <w:r>
              <w:rPr>
                <w:i/>
                <w:iCs/>
                <w:color w:val="444444"/>
                <w:sz w:val="15"/>
                <w:szCs w:val="15"/>
              </w:rPr>
              <w:t xml:space="preserve">Predicted / Actual (train)</w:t>
            </w:r>
            <w:r/>
          </w:p>
        </w:tc>
      </w:tr>
    </w:tbl>
    <w:p>
      <w:pPr>
        <w:pBdr/>
        <w:spacing w:after="1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60"/>
        <w:gridCol w:w="1700"/>
        <w:gridCol w:w="1700"/>
        <w:gridCol w:w="1700"/>
        <w:gridCol w:w="170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560" w:type="dxa"/>
            <w:vAlign w:val="center"/>
          </w:tcPr>
          <w:p>
            <w:pPr>
              <w:pBdr/>
              <w:spacing/>
              <w:ind/>
              <w:rPr/>
            </w:pPr>
            <w:r>
              <w:rPr>
                <w:b/>
                <w:bCs/>
                <w:color w:val="ffffff"/>
                <w:sz w:val="18"/>
                <w:szCs w:val="18"/>
              </w:rPr>
              <w:t xml:space="preserve">Split</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Loans</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Predicted EL</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Actual Losses</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00" w:type="dxa"/>
            <w:vAlign w:val="center"/>
          </w:tcPr>
          <w:p>
            <w:pPr>
              <w:pBdr/>
              <w:spacing/>
              <w:ind/>
              <w:rPr/>
            </w:pPr>
            <w:r>
              <w:rPr>
                <w:b/>
                <w:bCs/>
                <w:color w:val="ffffff"/>
                <w:sz w:val="18"/>
                <w:szCs w:val="18"/>
              </w:rPr>
              <w:t xml:space="preserve">Ratio</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val="0"/>
                <w:bCs w:val="0"/>
                <w:color w:val="222222"/>
                <w:sz w:val="18"/>
                <w:szCs w:val="18"/>
              </w:rPr>
              <w:t xml:space="preserve">Train (2007–2016)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1,127,206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$2,268M</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$1,478M</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1.535</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val="0"/>
                <w:bCs w:val="0"/>
                <w:color w:val="222222"/>
                <w:sz w:val="18"/>
                <w:szCs w:val="18"/>
              </w:rPr>
              <w:t xml:space="preserve">Test (2017–2018) *</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243,959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$539M</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$725M *</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val="0"/>
                <w:bCs w:val="0"/>
                <w:color w:val="222222"/>
                <w:sz w:val="18"/>
                <w:szCs w:val="18"/>
              </w:rPr>
              <w:t xml:space="preserve">N/A</w:t>
            </w:r>
            <w:r/>
          </w:p>
        </w:tc>
      </w:tr>
      <w:tr>
        <w:trPr/>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560" w:type="dxa"/>
            <w:vAlign w:val="center"/>
          </w:tcPr>
          <w:p>
            <w:pPr>
              <w:pBdr/>
              <w:spacing/>
              <w:ind/>
              <w:jc w:val="left"/>
              <w:rPr/>
            </w:pPr>
            <w:r>
              <w:rPr>
                <w:b/>
                <w:bCs/>
                <w:color w:val="222222"/>
                <w:sz w:val="18"/>
                <w:szCs w:val="18"/>
              </w:rPr>
              <w:t xml:space="preserve">Total</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bCs/>
                <w:color w:val="222222"/>
                <w:sz w:val="18"/>
                <w:szCs w:val="18"/>
              </w:rPr>
              <w:t xml:space="preserve">1,371,165</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bCs/>
                <w:color w:val="222222"/>
                <w:sz w:val="18"/>
                <w:szCs w:val="18"/>
              </w:rPr>
              <w:t xml:space="preserve">$2,806M</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bCs/>
                <w:color w:val="222222"/>
                <w:sz w:val="18"/>
                <w:szCs w:val="18"/>
              </w:rPr>
              <w:t xml:space="preserve">—</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00" w:type="dxa"/>
            <w:vAlign w:val="center"/>
          </w:tcPr>
          <w:p>
            <w:pPr>
              <w:pBdr/>
              <w:spacing/>
              <w:ind/>
              <w:jc w:val="right"/>
              <w:rPr/>
            </w:pPr>
            <w:r>
              <w:rPr>
                <w:b/>
                <w:bCs/>
                <w:color w:val="222222"/>
                <w:sz w:val="18"/>
                <w:szCs w:val="18"/>
              </w:rPr>
              <w:t xml:space="preserve">—</w:t>
            </w:r>
            <w:r/>
          </w:p>
        </w:tc>
      </w:tr>
    </w:tbl>
    <w:p>
      <w:pPr>
        <w:pBdr/>
        <w:spacing w:after="80"/>
        <w:ind/>
        <w:rPr/>
      </w:pPr>
      <w:r/>
      <w:r/>
    </w:p>
    <w:p>
      <w:pPr>
        <w:pBdr/>
        <w:spacing w:after="160" w:line="276" w:lineRule="auto"/>
        <w:ind/>
        <w:rPr/>
      </w:pPr>
      <w:r>
        <w:rPr>
          <w:i/>
          <w:iCs/>
          <w:color w:val="444444"/>
          <w:sz w:val="18"/>
          <w:szCs w:val="18"/>
        </w:rPr>
        <w:t xml:space="preserve">* Test actual losses are inflated by censoring: 2017–2018 defaults had not yet generated recovery payments at the dataset snapshot date.</w:t>
      </w:r>
      <w:r/>
    </w:p>
    <w:p>
      <w:pPr>
        <w:pBdr/>
        <w:spacing w:after="160"/>
        <w:ind/>
        <w:rPr/>
      </w:pPr>
      <w:r/>
      <w:r/>
    </w:p>
    <w:p>
      <w:pPr>
        <w:pStyle w:val="748"/>
        <w:pBdr/>
        <w:spacing/>
        <w:ind/>
        <w:rPr/>
      </w:pPr>
      <w:r/>
      <w:bookmarkStart w:id="1" w:name="sec-6-2"/>
      <w:r>
        <w:t xml:space="preserve">6.2 EL by Grade</w:t>
      </w:r>
      <w:bookmarkEnd w:id="1"/>
      <w:r/>
      <w:r/>
    </w:p>
    <w:p>
      <w:pPr>
        <w:pBdr/>
        <w:spacing w:after="160" w:line="276" w:lineRule="auto"/>
        <w:ind/>
        <w:rPr/>
      </w:pPr>
      <w:r>
        <w:t xml:space="preserve">EL rates increase monotonically from grade A to G, confirming the model’s risk ordering aligns with Lending Club’s own rating structure.</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560"/>
        <w:gridCol w:w="1560"/>
        <w:gridCol w:w="1560"/>
        <w:gridCol w:w="1260"/>
        <w:gridCol w:w="1260"/>
        <w:gridCol w:w="126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900" w:type="dxa"/>
            <w:vAlign w:val="center"/>
          </w:tcPr>
          <w:p>
            <w:pPr>
              <w:pBdr/>
              <w:spacing/>
              <w:ind/>
              <w:rPr/>
            </w:pPr>
            <w:r>
              <w:rPr>
                <w:b/>
                <w:bCs/>
                <w:color w:val="ffffff"/>
                <w:sz w:val="18"/>
                <w:szCs w:val="18"/>
              </w:rPr>
              <w:t xml:space="preserve">Grade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560" w:type="dxa"/>
            <w:vAlign w:val="center"/>
          </w:tcPr>
          <w:p>
            <w:pPr>
              <w:pBdr/>
              <w:spacing/>
              <w:ind/>
              <w:rPr/>
            </w:pPr>
            <w:r>
              <w:rPr>
                <w:b/>
                <w:bCs/>
                <w:color w:val="ffffff"/>
                <w:sz w:val="18"/>
                <w:szCs w:val="18"/>
              </w:rPr>
              <w:t xml:space="preserve">Loans</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560" w:type="dxa"/>
            <w:vAlign w:val="center"/>
          </w:tcPr>
          <w:p>
            <w:pPr>
              <w:pBdr/>
              <w:spacing/>
              <w:ind/>
              <w:rPr/>
            </w:pPr>
            <w:r>
              <w:rPr>
                <w:b/>
                <w:bCs/>
                <w:color w:val="ffffff"/>
                <w:sz w:val="18"/>
                <w:szCs w:val="18"/>
              </w:rPr>
              <w:t xml:space="preserve">Volume ($M)</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560" w:type="dxa"/>
            <w:vAlign w:val="center"/>
          </w:tcPr>
          <w:p>
            <w:pPr>
              <w:pBdr/>
              <w:spacing/>
              <w:ind/>
              <w:rPr/>
            </w:pPr>
            <w:r>
              <w:rPr>
                <w:b/>
                <w:bCs/>
                <w:color w:val="ffffff"/>
                <w:sz w:val="18"/>
                <w:szCs w:val="18"/>
              </w:rPr>
              <w:t xml:space="preserve">Total EL ($M)</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260" w:type="dxa"/>
            <w:vAlign w:val="center"/>
          </w:tcPr>
          <w:p>
            <w:pPr>
              <w:pBdr/>
              <w:spacing/>
              <w:ind/>
              <w:rPr/>
            </w:pPr>
            <w:r>
              <w:rPr>
                <w:b/>
                <w:bCs/>
                <w:color w:val="ffffff"/>
                <w:sz w:val="18"/>
                <w:szCs w:val="18"/>
              </w:rPr>
              <w:t xml:space="preserve">% of EL</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260" w:type="dxa"/>
            <w:vAlign w:val="center"/>
          </w:tcPr>
          <w:p>
            <w:pPr>
              <w:pBdr/>
              <w:spacing/>
              <w:ind/>
              <w:rPr/>
            </w:pPr>
            <w:r>
              <w:rPr>
                <w:b/>
                <w:bCs/>
                <w:color w:val="ffffff"/>
                <w:sz w:val="18"/>
                <w:szCs w:val="18"/>
              </w:rPr>
              <w:t xml:space="preserve">Mean PD</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260" w:type="dxa"/>
            <w:vAlign w:val="center"/>
          </w:tcPr>
          <w:p>
            <w:pPr>
              <w:pBdr/>
              <w:spacing/>
              <w:ind/>
              <w:rPr/>
            </w:pPr>
            <w:r>
              <w:rPr>
                <w:b/>
                <w:bCs/>
                <w:color w:val="ffffff"/>
                <w:sz w:val="18"/>
                <w:szCs w:val="18"/>
              </w:rPr>
              <w:t xml:space="preserve">Mean EL Rate</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A</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236,758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$3,293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$176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6.3%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23.6%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5.33%</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B</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398,528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$5,291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$501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17.9%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37.4%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9.18%</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C</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390,724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$5,569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$816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29.1%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50.5%</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14.03%</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D</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206,696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$3,168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$621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22.1%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61.5%</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18.78%</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96,224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$1,697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$431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15.4%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72.3%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24.61%</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F</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32,828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$628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$192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6.9%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80.4%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29.99%</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G</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9,407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$194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560" w:type="dxa"/>
            <w:vAlign w:val="center"/>
          </w:tcPr>
          <w:p>
            <w:pPr>
              <w:pBdr/>
              <w:spacing/>
              <w:ind/>
              <w:jc w:val="right"/>
              <w:rPr/>
            </w:pPr>
            <w:r>
              <w:rPr>
                <w:b w:val="0"/>
                <w:bCs w:val="0"/>
                <w:color w:val="222222"/>
                <w:sz w:val="18"/>
                <w:szCs w:val="18"/>
              </w:rPr>
              <w:t xml:space="preserve">$68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2.4%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85.8%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260" w:type="dxa"/>
            <w:vAlign w:val="center"/>
          </w:tcPr>
          <w:p>
            <w:pPr>
              <w:pBdr/>
              <w:spacing/>
              <w:ind/>
              <w:jc w:val="right"/>
              <w:rPr/>
            </w:pPr>
            <w:r>
              <w:rPr>
                <w:b w:val="0"/>
                <w:bCs w:val="0"/>
                <w:color w:val="222222"/>
                <w:sz w:val="18"/>
                <w:szCs w:val="18"/>
              </w:rPr>
              <w:t xml:space="preserve">34.52%</w:t>
            </w:r>
            <w:r/>
          </w:p>
        </w:tc>
      </w:tr>
    </w:tbl>
    <w:p>
      <w:pPr>
        <w:pBdr/>
        <w:spacing w:after="120"/>
        <w:ind/>
        <w:rPr/>
      </w:pPr>
      <w:r/>
      <w:r/>
    </w:p>
    <w:p>
      <w:pPr>
        <w:pBdr/>
        <w:spacing w:after="160" w:line="276" w:lineRule="auto"/>
        <w:ind/>
        <w:rPr/>
      </w:pPr>
      <w:r>
        <w:t xml:space="preserve">Grade G carries 6.5× the EL rate of grade A. Grade C accounts for the largest share of total portfolio EL ($816M, 29.1%) not because it is the riskiest segment but because it is the most heavily originated.</w:t>
      </w:r>
      <w:r/>
    </w:p>
    <w:p>
      <w:pPr>
        <w:pBdr/>
        <w:spacing w:after="80" w:before="120"/>
        <w:ind/>
        <w:jc w:val="center"/>
        <w:rPr/>
      </w:pPr>
      <w:r>
        <mc:AlternateContent>
          <mc:Choice Requires="wpg">
            <w:drawing>
              <wp:inline xmlns:wp="http://schemas.openxmlformats.org/drawingml/2006/wordprocessingDrawing" distT="0" distB="0" distL="0" distR="0">
                <wp:extent cx="5905500" cy="1647825"/>
                <wp:effectExtent l="0" t="0" r="0" b="0"/>
                <wp:docPr id="2" name="el_by_grade.png" descr="Figure 2 — Total Expected Loss and mean PD/EL rate by loan grade, full portfolio" title="Figure 2 — Total Expected Loss and mean PD/EL rate by loan grade, full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05500" cy="1647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5.00pt;height:129.75pt;mso-wrap-distance-left:0.00pt;mso-wrap-distance-top:0.00pt;mso-wrap-distance-right:0.00pt;mso-wrap-distance-bottom:0.00pt;z-index:1;" stroked="false">
                <v:imagedata r:id="rId12" o:title=""/>
                <o:lock v:ext="edit" rotation="t"/>
              </v:shape>
            </w:pict>
          </mc:Fallback>
        </mc:AlternateContent>
      </w:r>
      <w:r/>
    </w:p>
    <w:p>
      <w:pPr>
        <w:pBdr/>
        <w:spacing w:after="160"/>
        <w:ind/>
        <w:jc w:val="center"/>
        <w:rPr/>
      </w:pPr>
      <w:r>
        <w:rPr>
          <w:i/>
          <w:iCs/>
          <w:color w:val="444444"/>
          <w:sz w:val="16"/>
          <w:szCs w:val="16"/>
        </w:rPr>
        <w:t xml:space="preserve">Figure 2 — Total Expected Loss and mean PD/EL rate by loan grade, full portfolio</w:t>
      </w:r>
      <w:r/>
    </w:p>
    <w:p>
      <w:pPr>
        <w:pBdr/>
        <w:spacing/>
        <w:ind/>
        <w:rPr/>
      </w:pPr>
      <w:r>
        <w:br w:type="page" w:clear="all"/>
      </w:r>
      <w:r/>
    </w:p>
    <w:p>
      <w:pPr>
        <w:pStyle w:val="748"/>
        <w:pBdr/>
        <w:spacing/>
        <w:ind/>
        <w:rPr/>
      </w:pPr>
      <w:r/>
      <w:bookmarkStart w:id="1" w:name="sec-6-3"/>
      <w:r>
        <w:t xml:space="preserve">6.3 EL by Loan Purpose</w:t>
      </w:r>
      <w:bookmarkEnd w:id="1"/>
      <w:r/>
      <w:r/>
    </w:p>
    <w:p>
      <w:pPr>
        <w:pBdr/>
        <w:spacing w:after="160" w:line="276" w:lineRule="auto"/>
        <w:ind/>
        <w:rPr/>
      </w:pPr>
      <w:r>
        <w:t xml:space="preserve">Loan purpose is a proxy for borrower intent and repayment behaviour. The 14 purpose categories captured at origination are decomposed below, ranked by total dollar contribution to portfolio EL:</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440"/>
        <w:gridCol w:w="1740"/>
        <w:gridCol w:w="1740"/>
        <w:gridCol w:w="228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160" w:type="dxa"/>
            <w:vAlign w:val="center"/>
          </w:tcPr>
          <w:p>
            <w:pPr>
              <w:pBdr/>
              <w:spacing/>
              <w:ind/>
              <w:rPr/>
            </w:pPr>
            <w:r>
              <w:rPr>
                <w:b/>
                <w:bCs/>
                <w:color w:val="ffffff"/>
                <w:sz w:val="18"/>
                <w:szCs w:val="18"/>
              </w:rPr>
              <w:t xml:space="preserve">Purpose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440" w:type="dxa"/>
            <w:vAlign w:val="center"/>
          </w:tcPr>
          <w:p>
            <w:pPr>
              <w:pBdr/>
              <w:spacing/>
              <w:ind/>
              <w:rPr/>
            </w:pPr>
            <w:r>
              <w:rPr>
                <w:b/>
                <w:bCs/>
                <w:color w:val="ffffff"/>
                <w:sz w:val="18"/>
                <w:szCs w:val="18"/>
              </w:rPr>
              <w:t xml:space="preserve">Loans</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40" w:type="dxa"/>
            <w:vAlign w:val="center"/>
          </w:tcPr>
          <w:p>
            <w:pPr>
              <w:pBdr/>
              <w:spacing/>
              <w:ind/>
              <w:rPr/>
            </w:pPr>
            <w:r>
              <w:rPr>
                <w:b/>
                <w:bCs/>
                <w:color w:val="ffffff"/>
                <w:sz w:val="18"/>
                <w:szCs w:val="18"/>
              </w:rPr>
              <w:t xml:space="preserve">Mean EL Rate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40" w:type="dxa"/>
            <w:vAlign w:val="center"/>
          </w:tcPr>
          <w:p>
            <w:pPr>
              <w:pBdr/>
              <w:spacing/>
              <w:ind/>
              <w:rPr/>
            </w:pPr>
            <w:r>
              <w:rPr>
                <w:b/>
                <w:bCs/>
                <w:color w:val="ffffff"/>
                <w:sz w:val="18"/>
                <w:szCs w:val="18"/>
              </w:rPr>
              <w:t xml:space="preserve">Total EL ($M)</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2280" w:type="dxa"/>
            <w:vAlign w:val="center"/>
          </w:tcPr>
          <w:p>
            <w:pPr>
              <w:pBdr/>
              <w:spacing/>
              <w:ind/>
              <w:rPr/>
            </w:pPr>
            <w:r>
              <w:rPr>
                <w:b/>
                <w:bCs/>
                <w:color w:val="ffffff"/>
                <w:sz w:val="18"/>
                <w:szCs w:val="18"/>
              </w:rPr>
              <w:t xml:space="preserve">% of Portfolio EL</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Debt consolidation</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795,338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13.87%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$1,811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64.5%</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Credit card</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300,119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11.05%</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$527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18.8%</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Home improvement</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89,273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12.18%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$171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6.1%</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Other</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79,791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13.83%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$121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4.3%</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Major purchase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30,102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12.18%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$50</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1.8%</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Small business</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15,826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16.69%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$44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1.6%</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Medical</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15,899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13.65%</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$22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0.8%</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House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7,483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15.54%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0.7%</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Car</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14,810</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10.56%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0.6%</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Moving</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9,701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14.50%</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0.4%</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Vacation</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9,252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11.99%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0.3%</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Wedding</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2,294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12.57%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0.1%</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Renewable energy</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951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14.87%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0.1%</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160" w:type="dxa"/>
            <w:vAlign w:val="center"/>
          </w:tcPr>
          <w:p>
            <w:pPr>
              <w:pBdr/>
              <w:spacing/>
              <w:ind/>
              <w:jc w:val="left"/>
              <w:rPr/>
            </w:pPr>
            <w:r>
              <w:rPr>
                <w:b w:val="0"/>
                <w:bCs w:val="0"/>
                <w:color w:val="222222"/>
                <w:sz w:val="18"/>
                <w:szCs w:val="18"/>
              </w:rPr>
              <w:t xml:space="preserve">Educational</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40" w:type="dxa"/>
            <w:vAlign w:val="center"/>
          </w:tcPr>
          <w:p>
            <w:pPr>
              <w:pBdr/>
              <w:spacing/>
              <w:ind/>
              <w:jc w:val="right"/>
              <w:rPr/>
            </w:pPr>
            <w:r>
              <w:rPr>
                <w:b w:val="0"/>
                <w:bCs w:val="0"/>
                <w:color w:val="222222"/>
                <w:sz w:val="18"/>
                <w:szCs w:val="18"/>
              </w:rPr>
              <w:t xml:space="preserve">326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10.54%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40" w:type="dxa"/>
            <w:vAlign w:val="center"/>
          </w:tcPr>
          <w:p>
            <w:pPr>
              <w:pBdr/>
              <w:spacing/>
              <w:ind/>
              <w:jc w:val="right"/>
              <w:rPr/>
            </w:pPr>
            <w:r>
              <w:rPr>
                <w:b w:val="0"/>
                <w:bCs w:val="0"/>
                <w:color w:val="222222"/>
                <w:sz w:val="18"/>
                <w:szCs w:val="18"/>
              </w:rPr>
              <w:t xml:space="preserve">$0.2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2280" w:type="dxa"/>
            <w:vAlign w:val="center"/>
          </w:tcPr>
          <w:p>
            <w:pPr>
              <w:pBdr/>
              <w:spacing/>
              <w:ind/>
              <w:jc w:val="right"/>
              <w:rPr/>
            </w:pPr>
            <w:r>
              <w:rPr>
                <w:b w:val="0"/>
                <w:bCs w:val="0"/>
                <w:color w:val="222222"/>
                <w:sz w:val="18"/>
                <w:szCs w:val="18"/>
              </w:rPr>
              <w:t xml:space="preserve">0.0%</w:t>
            </w:r>
            <w:r/>
          </w:p>
        </w:tc>
      </w:tr>
    </w:tbl>
    <w:p>
      <w:pPr>
        <w:pBdr/>
        <w:spacing w:after="120"/>
        <w:ind/>
        <w:rPr/>
      </w:pPr>
      <w:r/>
      <w:r/>
    </w:p>
    <w:p>
      <w:pPr>
        <w:pBdr/>
        <w:spacing w:after="160" w:line="276" w:lineRule="auto"/>
        <w:ind/>
        <w:rPr/>
      </w:pPr>
      <w:r>
        <w:t xml:space="preserve">Small business loans carry the highest EL rate (16.69%) but represent only $44M in total EL — 1.2% of the portfolio by loan count. Debt consolidation loans have a middle-of-the-</w:t>
      </w:r>
      <w:r>
        <w:t xml:space="preserve">road EL rate (13.87%, close to the 13.10% portfolio average) but account for $1,811M — 64.5% of total portfolio EL — purely due to volume concentration (795,338 loans, 58.0% of all originations). Credit card is the second-largest concentration ($527M, 18.8</w:t>
      </w:r>
      <w:r>
        <w:t xml:space="preserve">% of EL) despite a below-average EL rate (11.05%). Together, debt consolidation and credit card — the two refinancing-oriented purposes — account for 83.3% of total portfolio EL. Any systemic deterioration in either segment would dominate portfolio losses.</w:t>
      </w:r>
      <w:r/>
    </w:p>
    <w:p>
      <w:pPr>
        <w:pBdr/>
        <w:spacing w:after="80" w:before="120"/>
        <w:ind/>
        <w:jc w:val="center"/>
        <w:rPr/>
      </w:pPr>
      <w:r>
        <mc:AlternateContent>
          <mc:Choice Requires="wpg">
            <w:drawing>
              <wp:inline xmlns:wp="http://schemas.openxmlformats.org/drawingml/2006/wordprocessingDrawing" distT="0" distB="0" distL="0" distR="0">
                <wp:extent cx="5905500" cy="2066925"/>
                <wp:effectExtent l="0" t="0" r="0" b="0"/>
                <wp:docPr id="3" name="el_by_purpose.png" descr="Figure 3 — Mean EL rate and total EL by loan purpose, full portfolio (14 categories)" title="Figure 3 — Mean EL rate and total EL by loan purpose, full portfolio (14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905500" cy="2066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162.75pt;mso-wrap-distance-left:0.00pt;mso-wrap-distance-top:0.00pt;mso-wrap-distance-right:0.00pt;mso-wrap-distance-bottom:0.00pt;z-index:1;" stroked="false">
                <v:imagedata r:id="rId13" o:title=""/>
                <o:lock v:ext="edit" rotation="t"/>
              </v:shape>
            </w:pict>
          </mc:Fallback>
        </mc:AlternateContent>
      </w:r>
      <w:r/>
    </w:p>
    <w:p>
      <w:pPr>
        <w:pBdr/>
        <w:spacing w:after="160"/>
        <w:ind/>
        <w:jc w:val="center"/>
        <w:rPr/>
      </w:pPr>
      <w:r>
        <w:rPr>
          <w:i/>
          <w:iCs/>
          <w:color w:val="444444"/>
          <w:sz w:val="16"/>
          <w:szCs w:val="16"/>
        </w:rPr>
        <w:t xml:space="preserve">Figure 3 — Mean EL rate and total EL by loan purpose, full portfolio (14 categories)</w:t>
      </w:r>
      <w:r/>
      <w:r>
        <w:br w:type="page" w:clear="all"/>
      </w:r>
      <w:r/>
      <w:r/>
    </w:p>
    <w:p>
      <w:pPr>
        <w:pStyle w:val="748"/>
        <w:pBdr/>
        <w:spacing/>
        <w:ind/>
        <w:rPr/>
      </w:pPr>
      <w:r/>
      <w:bookmarkStart w:id="1" w:name="sec-6-4"/>
      <w:r>
        <w:t xml:space="preserve">6.4 Model Calibration</w:t>
      </w:r>
      <w:bookmarkEnd w:id="1"/>
      <w:r/>
      <w:r/>
    </w:p>
    <w:p>
      <w:pPr>
        <w:pBdr/>
        <w:spacing w:after="160" w:line="276" w:lineRule="auto"/>
        <w:ind/>
        <w:rPr/>
      </w:pPr>
      <w:r>
        <w:t xml:space="preserve">Calibration is assessed on the training set (2007–2016), where loan outcomes have fully resolved. The model over-predicts actual losses at every grade level:</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650"/>
        <w:gridCol w:w="1650"/>
        <w:gridCol w:w="1650"/>
        <w:gridCol w:w="1710"/>
        <w:gridCol w:w="180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900" w:type="dxa"/>
            <w:vAlign w:val="center"/>
          </w:tcPr>
          <w:p>
            <w:pPr>
              <w:pBdr/>
              <w:spacing/>
              <w:ind/>
              <w:rPr/>
            </w:pPr>
            <w:r>
              <w:rPr>
                <w:b/>
                <w:bCs/>
                <w:color w:val="ffffff"/>
                <w:sz w:val="18"/>
                <w:szCs w:val="18"/>
              </w:rPr>
              <w:t xml:space="preserve">Grade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650" w:type="dxa"/>
            <w:vAlign w:val="center"/>
          </w:tcPr>
          <w:p>
            <w:pPr>
              <w:pBdr/>
              <w:spacing/>
              <w:ind/>
              <w:rPr/>
            </w:pPr>
            <w:r>
              <w:rPr>
                <w:b/>
                <w:bCs/>
                <w:color w:val="ffffff"/>
                <w:sz w:val="18"/>
                <w:szCs w:val="18"/>
              </w:rPr>
              <w:t xml:space="preserve">Predicted EL ($M)</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650" w:type="dxa"/>
            <w:vAlign w:val="center"/>
          </w:tcPr>
          <w:p>
            <w:pPr>
              <w:pBdr/>
              <w:spacing/>
              <w:ind/>
              <w:rPr/>
            </w:pPr>
            <w:r>
              <w:rPr>
                <w:b/>
                <w:bCs/>
                <w:color w:val="ffffff"/>
                <w:sz w:val="18"/>
                <w:szCs w:val="18"/>
              </w:rPr>
              <w:t xml:space="preserve">Actual Loss ($M)</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650" w:type="dxa"/>
            <w:vAlign w:val="center"/>
          </w:tcPr>
          <w:p>
            <w:pPr>
              <w:pBdr/>
              <w:spacing/>
              <w:ind/>
              <w:rPr/>
            </w:pPr>
            <w:r>
              <w:rPr>
                <w:b/>
                <w:bCs/>
                <w:color w:val="ffffff"/>
                <w:sz w:val="18"/>
                <w:szCs w:val="18"/>
              </w:rPr>
              <w:t xml:space="preserve">Pred EL Rate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710" w:type="dxa"/>
            <w:vAlign w:val="center"/>
          </w:tcPr>
          <w:p>
            <w:pPr>
              <w:pBdr/>
              <w:spacing/>
              <w:ind/>
              <w:rPr/>
            </w:pPr>
            <w:r>
              <w:rPr>
                <w:b/>
                <w:bCs/>
                <w:color w:val="ffffff"/>
                <w:sz w:val="18"/>
                <w:szCs w:val="18"/>
              </w:rPr>
              <w:t xml:space="preserve">Actual Loss Rate</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800" w:type="dxa"/>
            <w:vAlign w:val="center"/>
          </w:tcPr>
          <w:p>
            <w:pPr>
              <w:pBdr/>
              <w:spacing/>
              <w:ind/>
              <w:rPr/>
            </w:pPr>
            <w:r>
              <w:rPr>
                <w:b/>
                <w:bCs/>
                <w:color w:val="ffffff"/>
                <w:sz w:val="18"/>
                <w:szCs w:val="18"/>
              </w:rPr>
              <w:t xml:space="preserve">Ratio</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A</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$147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$64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5.33%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10" w:type="dxa"/>
            <w:vAlign w:val="center"/>
          </w:tcPr>
          <w:p>
            <w:pPr>
              <w:pBdr/>
              <w:spacing/>
              <w:ind/>
              <w:jc w:val="right"/>
              <w:rPr/>
            </w:pPr>
            <w:r>
              <w:rPr>
                <w:b w:val="0"/>
                <w:bCs w:val="0"/>
                <w:color w:val="222222"/>
                <w:sz w:val="18"/>
                <w:szCs w:val="18"/>
              </w:rPr>
              <w:t xml:space="preserve">2.32%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800" w:type="dxa"/>
            <w:vAlign w:val="center"/>
          </w:tcPr>
          <w:p>
            <w:pPr>
              <w:pBdr/>
              <w:spacing/>
              <w:ind/>
              <w:jc w:val="right"/>
              <w:rPr/>
            </w:pPr>
            <w:r>
              <w:rPr>
                <w:b w:val="0"/>
                <w:bCs w:val="0"/>
                <w:color w:val="222222"/>
                <w:sz w:val="18"/>
                <w:szCs w:val="18"/>
              </w:rPr>
              <w:t xml:space="preserve">2.30</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B</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$411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$242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9.35%</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10" w:type="dxa"/>
            <w:vAlign w:val="center"/>
          </w:tcPr>
          <w:p>
            <w:pPr>
              <w:pBdr/>
              <w:spacing/>
              <w:ind/>
              <w:jc w:val="right"/>
              <w:rPr/>
            </w:pPr>
            <w:r>
              <w:rPr>
                <w:b w:val="0"/>
                <w:bCs w:val="0"/>
                <w:color w:val="222222"/>
                <w:sz w:val="18"/>
                <w:szCs w:val="18"/>
              </w:rPr>
              <w:t xml:space="preserve">5.50%</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800" w:type="dxa"/>
            <w:vAlign w:val="center"/>
          </w:tcPr>
          <w:p>
            <w:pPr>
              <w:pBdr/>
              <w:spacing/>
              <w:ind/>
              <w:jc w:val="right"/>
              <w:rPr/>
            </w:pPr>
            <w:r>
              <w:rPr>
                <w:b w:val="0"/>
                <w:bCs w:val="0"/>
                <w:color w:val="222222"/>
                <w:sz w:val="18"/>
                <w:szCs w:val="18"/>
              </w:rPr>
              <w:t xml:space="preserve">1.70</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C</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$641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$429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14.44%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10" w:type="dxa"/>
            <w:vAlign w:val="center"/>
          </w:tcPr>
          <w:p>
            <w:pPr>
              <w:pBdr/>
              <w:spacing/>
              <w:ind/>
              <w:jc w:val="right"/>
              <w:rPr/>
            </w:pPr>
            <w:r>
              <w:rPr>
                <w:b w:val="0"/>
                <w:bCs w:val="0"/>
                <w:color w:val="222222"/>
                <w:sz w:val="18"/>
                <w:szCs w:val="18"/>
              </w:rPr>
              <w:t xml:space="preserve">9.68%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800" w:type="dxa"/>
            <w:vAlign w:val="center"/>
          </w:tcPr>
          <w:p>
            <w:pPr>
              <w:pBdr/>
              <w:spacing/>
              <w:ind/>
              <w:jc w:val="right"/>
              <w:rPr/>
            </w:pPr>
            <w:r>
              <w:rPr>
                <w:b w:val="0"/>
                <w:bCs w:val="0"/>
                <w:color w:val="222222"/>
                <w:sz w:val="18"/>
                <w:szCs w:val="18"/>
              </w:rPr>
              <w:t xml:space="preserve">1.49</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D</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$497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$348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19.38%</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10" w:type="dxa"/>
            <w:vAlign w:val="center"/>
          </w:tcPr>
          <w:p>
            <w:pPr>
              <w:pBdr/>
              <w:spacing/>
              <w:ind/>
              <w:jc w:val="right"/>
              <w:rPr/>
            </w:pPr>
            <w:r>
              <w:rPr>
                <w:b w:val="0"/>
                <w:bCs w:val="0"/>
                <w:color w:val="222222"/>
                <w:sz w:val="18"/>
                <w:szCs w:val="18"/>
              </w:rPr>
              <w:t xml:space="preserve">13.54%</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800" w:type="dxa"/>
            <w:vAlign w:val="center"/>
          </w:tcPr>
          <w:p>
            <w:pPr>
              <w:pBdr/>
              <w:spacing/>
              <w:ind/>
              <w:jc w:val="right"/>
              <w:rPr/>
            </w:pPr>
            <w:r>
              <w:rPr>
                <w:b w:val="0"/>
                <w:bCs w:val="0"/>
                <w:color w:val="222222"/>
                <w:sz w:val="18"/>
                <w:szCs w:val="18"/>
              </w:rPr>
              <w:t xml:space="preserve">1.43</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E</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$363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$251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25.05%</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10" w:type="dxa"/>
            <w:vAlign w:val="center"/>
          </w:tcPr>
          <w:p>
            <w:pPr>
              <w:pBdr/>
              <w:spacing/>
              <w:ind/>
              <w:jc w:val="right"/>
              <w:rPr/>
            </w:pPr>
            <w:r>
              <w:rPr>
                <w:b w:val="0"/>
                <w:bCs w:val="0"/>
                <w:color w:val="222222"/>
                <w:sz w:val="18"/>
                <w:szCs w:val="18"/>
              </w:rPr>
              <w:t xml:space="preserve">17.33%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800" w:type="dxa"/>
            <w:vAlign w:val="center"/>
          </w:tcPr>
          <w:p>
            <w:pPr>
              <w:pBdr/>
              <w:spacing/>
              <w:ind/>
              <w:jc w:val="right"/>
              <w:rPr/>
            </w:pPr>
            <w:r>
              <w:rPr>
                <w:b w:val="0"/>
                <w:bCs w:val="0"/>
                <w:color w:val="222222"/>
                <w:sz w:val="18"/>
                <w:szCs w:val="18"/>
              </w:rPr>
              <w:t xml:space="preserve">1.45</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F</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$161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$112</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30.03%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10" w:type="dxa"/>
            <w:vAlign w:val="center"/>
          </w:tcPr>
          <w:p>
            <w:pPr>
              <w:pBdr/>
              <w:spacing/>
              <w:ind/>
              <w:jc w:val="right"/>
              <w:rPr/>
            </w:pPr>
            <w:r>
              <w:rPr>
                <w:b w:val="0"/>
                <w:bCs w:val="0"/>
                <w:color w:val="222222"/>
                <w:sz w:val="18"/>
                <w:szCs w:val="18"/>
              </w:rPr>
              <w:t xml:space="preserve">20.87%</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800" w:type="dxa"/>
            <w:vAlign w:val="center"/>
          </w:tcPr>
          <w:p>
            <w:pPr>
              <w:pBdr/>
              <w:spacing/>
              <w:ind/>
              <w:jc w:val="right"/>
              <w:rPr/>
            </w:pPr>
            <w:r>
              <w:rPr>
                <w:b w:val="0"/>
                <w:bCs w:val="0"/>
                <w:color w:val="222222"/>
                <w:sz w:val="18"/>
                <w:szCs w:val="18"/>
              </w:rPr>
              <w:t xml:space="preserve">1.44</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val="0"/>
                <w:bCs w:val="0"/>
                <w:color w:val="222222"/>
                <w:sz w:val="18"/>
                <w:szCs w:val="18"/>
              </w:rPr>
              <w:t xml:space="preserve">G</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$49</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$33</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val="0"/>
                <w:bCs w:val="0"/>
                <w:color w:val="222222"/>
                <w:sz w:val="18"/>
                <w:szCs w:val="18"/>
              </w:rPr>
              <w:t xml:space="preserve">34.46%</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10" w:type="dxa"/>
            <w:vAlign w:val="center"/>
          </w:tcPr>
          <w:p>
            <w:pPr>
              <w:pBdr/>
              <w:spacing/>
              <w:ind/>
              <w:jc w:val="right"/>
              <w:rPr/>
            </w:pPr>
            <w:r>
              <w:rPr>
                <w:b w:val="0"/>
                <w:bCs w:val="0"/>
                <w:color w:val="222222"/>
                <w:sz w:val="18"/>
                <w:szCs w:val="18"/>
              </w:rPr>
              <w:t xml:space="preserve">22.91%</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800" w:type="dxa"/>
            <w:vAlign w:val="center"/>
          </w:tcPr>
          <w:p>
            <w:pPr>
              <w:pBdr/>
              <w:spacing/>
              <w:ind/>
              <w:jc w:val="right"/>
              <w:rPr/>
            </w:pPr>
            <w:r>
              <w:rPr>
                <w:b w:val="0"/>
                <w:bCs w:val="0"/>
                <w:color w:val="222222"/>
                <w:sz w:val="18"/>
                <w:szCs w:val="18"/>
              </w:rPr>
              <w:t xml:space="preserve">1.50</w:t>
            </w:r>
            <w:r/>
          </w:p>
        </w:tc>
      </w:tr>
      <w:tr>
        <w:trPr/>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900" w:type="dxa"/>
            <w:vAlign w:val="center"/>
          </w:tcPr>
          <w:p>
            <w:pPr>
              <w:pBdr/>
              <w:spacing/>
              <w:ind/>
              <w:jc w:val="left"/>
              <w:rPr/>
            </w:pPr>
            <w:r>
              <w:rPr>
                <w:b/>
                <w:bCs/>
                <w:color w:val="222222"/>
                <w:sz w:val="18"/>
                <w:szCs w:val="18"/>
              </w:rPr>
              <w:t xml:space="preserve">Total</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bCs/>
                <w:color w:val="222222"/>
                <w:sz w:val="18"/>
                <w:szCs w:val="18"/>
              </w:rPr>
              <w:t xml:space="preserve">$2,268</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bCs/>
                <w:color w:val="222222"/>
                <w:sz w:val="18"/>
                <w:szCs w:val="18"/>
              </w:rPr>
              <w:t xml:space="preserve">$1,478</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650" w:type="dxa"/>
            <w:vAlign w:val="center"/>
          </w:tcPr>
          <w:p>
            <w:pPr>
              <w:pBdr/>
              <w:spacing/>
              <w:ind/>
              <w:jc w:val="right"/>
              <w:rPr/>
            </w:pPr>
            <w:r>
              <w:rPr>
                <w:b/>
                <w:bCs/>
                <w:color w:val="222222"/>
                <w:sz w:val="18"/>
                <w:szCs w:val="18"/>
              </w:rPr>
              <w:t xml:space="preserve">—</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710" w:type="dxa"/>
            <w:vAlign w:val="center"/>
          </w:tcPr>
          <w:p>
            <w:pPr>
              <w:pBdr/>
              <w:spacing/>
              <w:ind/>
              <w:jc w:val="right"/>
              <w:rPr/>
            </w:pPr>
            <w:r>
              <w:rPr>
                <w:b/>
                <w:bCs/>
                <w:color w:val="222222"/>
                <w:sz w:val="18"/>
                <w:szCs w:val="18"/>
              </w:rPr>
              <w:t xml:space="preserve">—</w:t>
            </w:r>
            <w:r/>
          </w:p>
        </w:tc>
        <w:tc>
          <w:tcPr>
            <w:shd w:val="clear" w:color="auto" w:fill="f2f4f6"/>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800" w:type="dxa"/>
            <w:vAlign w:val="center"/>
          </w:tcPr>
          <w:p>
            <w:pPr>
              <w:pBdr/>
              <w:spacing/>
              <w:ind/>
              <w:jc w:val="right"/>
              <w:rPr/>
            </w:pPr>
            <w:r>
              <w:rPr>
                <w:b/>
                <w:bCs/>
                <w:color w:val="222222"/>
                <w:sz w:val="18"/>
                <w:szCs w:val="18"/>
              </w:rPr>
              <w:t xml:space="preserve">1.54</w:t>
            </w:r>
            <w:r/>
          </w:p>
        </w:tc>
      </w:tr>
    </w:tbl>
    <w:p>
      <w:pPr>
        <w:pBdr/>
        <w:spacing w:after="120"/>
        <w:ind/>
        <w:rPr/>
      </w:pPr>
      <w:r/>
      <w:r/>
    </w:p>
    <w:p>
      <w:pPr>
        <w:pBdr/>
        <w:spacing w:after="160" w:line="276" w:lineRule="auto"/>
        <w:ind/>
        <w:rPr/>
      </w:pPr>
      <w:r>
        <w:t xml:space="preserve">The ca</w:t>
      </w:r>
      <w:r>
        <w:t xml:space="preserve">libration bias is most pronounced for grade A (ratio 2.30×) and stabilises for grades C–G (approximately 1.43–1.50×). The root cause is the use of class_weight=’balanced’ in the PD Logistic Regression: this technique improves AUC by up-weighting rare defau</w:t>
      </w:r>
      <w:r>
        <w:t xml:space="preserve">lt events during training but inflates predicted probabilities above the true empirical default rate (mean predicted PD: 46.2% vs actual train default rate: 20.2%). The model correctly ranks borrowers by risk but overstates absolute probability magnitudes.</w:t>
      </w:r>
      <w:r/>
    </w:p>
    <w:p>
      <w:pPr>
        <w:pBdr/>
        <w:spacing w:after="80" w:before="120"/>
        <w:ind/>
        <w:jc w:val="center"/>
        <w:rPr/>
      </w:pPr>
      <w:r>
        <mc:AlternateContent>
          <mc:Choice Requires="wpg">
            <w:drawing>
              <wp:inline xmlns:wp="http://schemas.openxmlformats.org/drawingml/2006/wordprocessingDrawing" distT="0" distB="0" distL="0" distR="0">
                <wp:extent cx="5905500" cy="2066925"/>
                <wp:effectExtent l="0" t="0" r="0" b="0"/>
                <wp:docPr id="4" name="el_calibration.png" descr="Figure 4 — Calibration by grade: predicted EL vs. actual realised loss, training set (2007–2016)" title="Figure 4 — Calibration by grade: predicted EL vs. actual realised loss, training set (2007–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905500" cy="2066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162.75pt;mso-wrap-distance-left:0.00pt;mso-wrap-distance-top:0.00pt;mso-wrap-distance-right:0.00pt;mso-wrap-distance-bottom:0.00pt;z-index:1;" stroked="false">
                <v:imagedata r:id="rId14" o:title=""/>
                <o:lock v:ext="edit" rotation="t"/>
              </v:shape>
            </w:pict>
          </mc:Fallback>
        </mc:AlternateContent>
      </w:r>
      <w:r/>
    </w:p>
    <w:p>
      <w:pPr>
        <w:pBdr/>
        <w:spacing w:after="160"/>
        <w:ind/>
        <w:jc w:val="center"/>
        <w:rPr/>
      </w:pPr>
      <w:r>
        <w:rPr>
          <w:i/>
          <w:iCs/>
          <w:color w:val="444444"/>
          <w:sz w:val="16"/>
          <w:szCs w:val="16"/>
        </w:rPr>
        <w:t xml:space="preserve">Figure 4 — Calibration by grade: predicted EL vs. actual realised loss, training set (2007–2016)</w:t>
      </w:r>
      <w:r/>
    </w:p>
    <w:p>
      <w:pPr>
        <w:pBdr/>
        <w:spacing/>
        <w:ind/>
        <w:rPr/>
      </w:pPr>
      <w:r>
        <w:br w:type="page" w:clear="all"/>
      </w:r>
      <w:r/>
    </w:p>
    <w:p>
      <w:pPr>
        <w:pStyle w:val="747"/>
        <w:pBdr/>
        <w:spacing/>
        <w:ind/>
        <w:rPr/>
      </w:pPr>
      <w:r/>
      <w:bookmarkStart w:id="1" w:name="sec-7"/>
      <w:r>
        <w:t xml:space="preserve">7. Key Findings &amp; Recommendations</w:t>
      </w:r>
      <w:bookmarkEnd w:id="1"/>
      <w:r/>
      <w:r/>
    </w:p>
    <w:p>
      <w:pPr>
        <w:pStyle w:val="748"/>
        <w:pBdr/>
        <w:spacing/>
        <w:ind/>
        <w:rPr/>
      </w:pPr>
      <w:r/>
      <w:bookmarkStart w:id="1" w:name="sec-7-1"/>
      <w:r>
        <w:t xml:space="preserve">7.1 Summary of Findings</w:t>
      </w:r>
      <w:bookmarkEnd w:id="1"/>
      <w:r/>
      <w:r/>
    </w:p>
    <w:p>
      <w:pPr>
        <w:pBdr/>
        <w:spacing w:after="160" w:line="276" w:lineRule="auto"/>
        <w:ind/>
        <w:rPr/>
      </w:pPr>
      <w:r>
        <w:t xml:space="preserve">The Expected Loss framework successfully quantifies credit risk at the loan and portfolio level across 1.37 million Lending Club loans. Four principal findings emerge:</w:t>
      </w:r>
      <w:r/>
    </w:p>
    <w:p>
      <w:pPr>
        <w:pBdr/>
        <w:spacing w:after="80"/>
        <w:ind/>
        <w:rPr/>
      </w:pPr>
      <w:r/>
      <w:r/>
    </w:p>
    <w:p>
      <w:pPr>
        <w:pStyle w:val="749"/>
        <w:pBdr/>
        <w:spacing/>
        <w:ind/>
        <w:rPr/>
      </w:pPr>
      <w:r>
        <w:t xml:space="preserve">Finding 1 — Grade monotonicity confirmed</w:t>
      </w:r>
      <w:r/>
    </w:p>
    <w:p>
      <w:pPr>
        <w:pBdr/>
        <w:spacing w:after="160" w:line="276" w:lineRule="auto"/>
        <w:ind/>
        <w:rPr/>
      </w:pPr>
      <w:r>
        <w:t xml:space="preserve">EL r</w:t>
      </w:r>
      <w:r>
        <w:t xml:space="preserve">ates increase strictly and substantially from grade A (5.33%) to grade G (34.52%). Grade G carries 6.5× the expected loss rate of grade A. This validates the model’s discriminative power and confirms alignment with Lending Club’s proprietary rating system.</w:t>
      </w:r>
      <w:r/>
    </w:p>
    <w:p>
      <w:pPr>
        <w:pStyle w:val="749"/>
        <w:pBdr/>
        <w:spacing/>
        <w:ind/>
        <w:rPr/>
      </w:pPr>
      <w:r>
        <w:t xml:space="preserve">Finding 2 — Volume concentration in debt consolidation and credit card</w:t>
      </w:r>
      <w:r/>
    </w:p>
    <w:p>
      <w:pPr>
        <w:pBdr/>
        <w:spacing w:after="160" w:line="276" w:lineRule="auto"/>
        <w:ind/>
        <w:rPr/>
      </w:pPr>
      <w:r>
        <w:t xml:space="preserve">Debt consolidation loans account for 64.5% of total portfolio EL ($1,811M of $2,806M). This concentration arises from volume, not elevated risk per se: debt consolidation carries a middle-range EL rate of 13.87%. Credit card loans add a further 1</w:t>
      </w:r>
      <w:r>
        <w:t xml:space="preserve">8.8% of total EL despite a below-average rate (11.05%). Together the two refinancing purposes represent 83.3% of total portfolio EL. Any macro-level deterioration in consumer debt refinancing behaviour would disproportionately affect portfolio performance.</w:t>
      </w:r>
      <w:r/>
    </w:p>
    <w:p>
      <w:pPr>
        <w:pStyle w:val="749"/>
        <w:pBdr/>
        <w:spacing/>
        <w:ind/>
        <w:rPr/>
      </w:pPr>
      <w:r>
        <w:t xml:space="preserve">Finding 3 — Temporal censoring limits LGD and EAD evaluation</w:t>
      </w:r>
      <w:r/>
    </w:p>
    <w:p>
      <w:pPr>
        <w:pBdr/>
        <w:spacing w:after="160" w:line="276" w:lineRule="auto"/>
        <w:ind/>
        <w:rPr/>
      </w:pPr>
      <w:r>
        <w:t xml:space="preserve">Both the LGD and EAD models are affected by loan maturity censoring in the 2017–2018 test cohort. Defaulted loans in this period had insufficient time to generate recovery payments or principal repayments, p</w:t>
      </w:r>
      <w:r>
        <w:t xml:space="preserve">roducing distribution shifts (LGD: 0.41 train vs 0.66 test; CCF: 0.62 train vs 0.80 test) that inflate test-set error metrics. MAE improvements over baselines (19% for LGD, 7% for EAD) confirm that the models add value despite these measurement challenges.</w:t>
      </w:r>
      <w:r/>
    </w:p>
    <w:p>
      <w:pPr>
        <w:pStyle w:val="749"/>
        <w:pBdr/>
        <w:spacing/>
        <w:ind/>
        <w:rPr/>
      </w:pPr>
      <w:r>
        <w:t xml:space="preserve">Finding 4 — PD miscalibration drives 1.54× over-prediction</w:t>
      </w:r>
      <w:r/>
    </w:p>
    <w:p>
      <w:pPr>
        <w:pBdr/>
        <w:spacing w:after="160" w:line="276" w:lineRule="auto"/>
        <w:ind/>
        <w:rPr/>
      </w:pPr>
      <w:r>
        <w:t xml:space="preserve">The po</w:t>
      </w:r>
      <w:r>
        <w:t xml:space="preserve">rtfolio-level EL over-predicts realised training losses by 1.54×. This is attributable to balanced-class-weight training of the PD model, which inflates predicted probabilities. The model is well-ranked (AUC 0.6831) but poorly calibrated in absolute terms.</w:t>
      </w:r>
      <w:r/>
    </w:p>
    <w:p>
      <w:pPr>
        <w:pBdr/>
        <w:spacing w:after="120"/>
        <w:ind/>
        <w:rPr/>
      </w:pPr>
      <w:r/>
      <w:r/>
    </w:p>
    <w:p>
      <w:pPr>
        <w:pStyle w:val="748"/>
        <w:pBdr/>
        <w:spacing/>
        <w:ind/>
        <w:rPr/>
      </w:pPr>
      <w:r/>
      <w:bookmarkStart w:id="1" w:name="sec-7-2"/>
      <w:r>
        <w:t xml:space="preserve">7.2 Recommendations</w:t>
      </w:r>
      <w:bookmarkEnd w:id="1"/>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4460"/>
        <w:gridCol w:w="3500"/>
      </w:tblGrid>
      <w:tr>
        <w:trPr>
          <w:tblHeader/>
        </w:trPr>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1400" w:type="dxa"/>
            <w:vAlign w:val="center"/>
          </w:tcPr>
          <w:p>
            <w:pPr>
              <w:pBdr/>
              <w:spacing/>
              <w:ind/>
              <w:rPr/>
            </w:pPr>
            <w:r>
              <w:rPr>
                <w:b/>
                <w:bCs/>
                <w:color w:val="ffffff"/>
                <w:sz w:val="18"/>
                <w:szCs w:val="18"/>
              </w:rPr>
              <w:t xml:space="preserve">Priority</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4460" w:type="dxa"/>
            <w:vAlign w:val="center"/>
          </w:tcPr>
          <w:p>
            <w:pPr>
              <w:pBdr/>
              <w:spacing/>
              <w:ind/>
              <w:rPr/>
            </w:pPr>
            <w:r>
              <w:rPr>
                <w:b/>
                <w:bCs/>
                <w:color w:val="ffffff"/>
                <w:sz w:val="18"/>
                <w:szCs w:val="18"/>
              </w:rPr>
              <w:t xml:space="preserve">Action</w:t>
            </w:r>
            <w:r/>
          </w:p>
        </w:tc>
        <w:tc>
          <w:tcPr>
            <w:shd w:val="clear" w:color="auto" w:fill="1a3a5c"/>
            <w:tcBorders>
              <w:top w:val="single" w:color="d9d9d9" w:sz="2" w:space="0"/>
              <w:left w:val="single" w:color="d9d9d9" w:sz="2" w:space="0"/>
              <w:bottom w:val="single" w:color="d9d9d9" w:sz="2" w:space="0"/>
              <w:right w:val="single" w:color="d9d9d9" w:sz="2" w:space="0"/>
            </w:tcBorders>
            <w:tcMar>
              <w:left w:w="120" w:type="dxa"/>
              <w:top w:w="80" w:type="dxa"/>
              <w:right w:w="120" w:type="dxa"/>
              <w:bottom w:w="80" w:type="dxa"/>
            </w:tcMar>
            <w:tcW w:w="3500" w:type="dxa"/>
            <w:vAlign w:val="center"/>
          </w:tcPr>
          <w:p>
            <w:pPr>
              <w:pBdr/>
              <w:spacing/>
              <w:ind/>
              <w:rPr/>
            </w:pPr>
            <w:r>
              <w:rPr>
                <w:b/>
                <w:bCs/>
                <w:color w:val="ffffff"/>
                <w:sz w:val="18"/>
                <w:szCs w:val="18"/>
              </w:rPr>
              <w:t xml:space="preserve">Expected Impact</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00" w:type="dxa"/>
            <w:vAlign w:val="center"/>
          </w:tcPr>
          <w:p>
            <w:pPr>
              <w:pBdr/>
              <w:spacing/>
              <w:ind/>
              <w:jc w:val="left"/>
              <w:rPr/>
            </w:pPr>
            <w:r>
              <w:rPr>
                <w:b w:val="0"/>
                <w:bCs w:val="0"/>
                <w:color w:val="222222"/>
                <w:sz w:val="18"/>
                <w:szCs w:val="18"/>
              </w:rPr>
              <w:t xml:space="preserve">High</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460" w:type="dxa"/>
            <w:vAlign w:val="center"/>
          </w:tcPr>
          <w:p>
            <w:pPr>
              <w:pBdr/>
              <w:spacing/>
              <w:ind/>
              <w:jc w:val="right"/>
              <w:rPr/>
            </w:pPr>
            <w:r>
              <w:rPr>
                <w:b w:val="0"/>
                <w:bCs w:val="0"/>
                <w:color w:val="222222"/>
                <w:sz w:val="18"/>
                <w:szCs w:val="18"/>
              </w:rPr>
              <w:t xml:space="preserve">Apply Platt scaling to PD model probabilities</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500" w:type="dxa"/>
            <w:vAlign w:val="center"/>
          </w:tcPr>
          <w:p>
            <w:pPr>
              <w:pBdr/>
              <w:spacing/>
              <w:ind/>
              <w:jc w:val="right"/>
              <w:rPr/>
            </w:pPr>
            <w:r>
              <w:rPr>
                <w:b w:val="0"/>
                <w:bCs w:val="0"/>
                <w:color w:val="222222"/>
                <w:sz w:val="18"/>
                <w:szCs w:val="18"/>
              </w:rPr>
              <w:t xml:space="preserve">Reduce calibration ratio from 1.54× toward 1.0×</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00" w:type="dxa"/>
            <w:vAlign w:val="center"/>
          </w:tcPr>
          <w:p>
            <w:pPr>
              <w:pBdr/>
              <w:spacing/>
              <w:ind/>
              <w:jc w:val="left"/>
              <w:rPr/>
            </w:pPr>
            <w:r>
              <w:rPr>
                <w:b w:val="0"/>
                <w:bCs w:val="0"/>
                <w:color w:val="222222"/>
                <w:sz w:val="18"/>
                <w:szCs w:val="18"/>
              </w:rPr>
              <w:t xml:space="preserve">High</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460" w:type="dxa"/>
            <w:vAlign w:val="center"/>
          </w:tcPr>
          <w:p>
            <w:pPr>
              <w:pBdr/>
              <w:spacing/>
              <w:ind/>
              <w:jc w:val="right"/>
              <w:rPr/>
            </w:pPr>
            <w:r>
              <w:rPr>
                <w:b w:val="0"/>
                <w:bCs w:val="0"/>
                <w:color w:val="222222"/>
                <w:sz w:val="18"/>
                <w:szCs w:val="18"/>
              </w:rPr>
              <w:t xml:space="preserve">Re-run on dataset with 2020+ observation cutoff</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500" w:type="dxa"/>
            <w:vAlign w:val="center"/>
          </w:tcPr>
          <w:p>
            <w:pPr>
              <w:pBdr/>
              <w:spacing/>
              <w:ind/>
              <w:jc w:val="right"/>
              <w:rPr/>
            </w:pPr>
            <w:r>
              <w:rPr>
                <w:b w:val="0"/>
                <w:bCs w:val="0"/>
                <w:color w:val="222222"/>
                <w:sz w:val="18"/>
                <w:szCs w:val="18"/>
              </w:rPr>
              <w:t xml:space="preserve">Eliminate LGD/EAD censoring bias; enable proper OOT validation</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00" w:type="dxa"/>
            <w:vAlign w:val="center"/>
          </w:tcPr>
          <w:p>
            <w:pPr>
              <w:pBdr/>
              <w:spacing/>
              <w:ind/>
              <w:jc w:val="left"/>
              <w:rPr/>
            </w:pPr>
            <w:r>
              <w:rPr>
                <w:b w:val="0"/>
                <w:bCs w:val="0"/>
                <w:color w:val="222222"/>
                <w:sz w:val="18"/>
                <w:szCs w:val="18"/>
              </w:rPr>
              <w:t xml:space="preserve">Medium</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460" w:type="dxa"/>
            <w:vAlign w:val="center"/>
          </w:tcPr>
          <w:p>
            <w:pPr>
              <w:pBdr/>
              <w:spacing/>
              <w:ind/>
              <w:jc w:val="right"/>
              <w:rPr/>
            </w:pPr>
            <w:r>
              <w:rPr>
                <w:b w:val="0"/>
                <w:bCs w:val="0"/>
                <w:color w:val="222222"/>
                <w:sz w:val="18"/>
                <w:szCs w:val="18"/>
              </w:rPr>
              <w:t xml:space="preserve">Add macroeconomic features (unemployment, credit index)</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500" w:type="dxa"/>
            <w:vAlign w:val="center"/>
          </w:tcPr>
          <w:p>
            <w:pPr>
              <w:pBdr/>
              <w:spacing/>
              <w:ind/>
              <w:jc w:val="right"/>
              <w:rPr/>
            </w:pPr>
            <w:r>
              <w:rPr>
                <w:b w:val="0"/>
                <w:bCs w:val="0"/>
                <w:color w:val="222222"/>
                <w:sz w:val="18"/>
                <w:szCs w:val="18"/>
              </w:rPr>
              <w:t xml:space="preserve">Enable stress-testing and cycle-aware risk estimates</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00" w:type="dxa"/>
            <w:vAlign w:val="center"/>
          </w:tcPr>
          <w:p>
            <w:pPr>
              <w:pBdr/>
              <w:spacing/>
              <w:ind/>
              <w:jc w:val="left"/>
              <w:rPr/>
            </w:pPr>
            <w:r>
              <w:rPr>
                <w:b w:val="0"/>
                <w:bCs w:val="0"/>
                <w:color w:val="222222"/>
                <w:sz w:val="18"/>
                <w:szCs w:val="18"/>
              </w:rPr>
              <w:t xml:space="preserve">Medium</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460" w:type="dxa"/>
            <w:vAlign w:val="center"/>
          </w:tcPr>
          <w:p>
            <w:pPr>
              <w:pBdr/>
              <w:spacing/>
              <w:ind/>
              <w:jc w:val="right"/>
              <w:rPr/>
            </w:pPr>
            <w:r>
              <w:rPr>
                <w:b w:val="0"/>
                <w:bCs w:val="0"/>
                <w:color w:val="222222"/>
                <w:sz w:val="18"/>
                <w:szCs w:val="18"/>
              </w:rPr>
              <w:t xml:space="preserve">Explore survival models for time-to-default</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500" w:type="dxa"/>
            <w:vAlign w:val="center"/>
          </w:tcPr>
          <w:p>
            <w:pPr>
              <w:pBdr/>
              <w:spacing/>
              <w:ind/>
              <w:jc w:val="right"/>
              <w:rPr/>
            </w:pPr>
            <w:r>
              <w:rPr>
                <w:b w:val="0"/>
                <w:bCs w:val="0"/>
                <w:color w:val="222222"/>
                <w:sz w:val="18"/>
                <w:szCs w:val="18"/>
              </w:rPr>
              <w:t xml:space="preserve">Improve LGD and CCF via better default-timing signal</w:t>
            </w:r>
            <w:r/>
          </w:p>
        </w:tc>
      </w:tr>
      <w:tr>
        <w:trPr/>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1400" w:type="dxa"/>
            <w:vAlign w:val="center"/>
          </w:tcPr>
          <w:p>
            <w:pPr>
              <w:pBdr/>
              <w:spacing/>
              <w:ind/>
              <w:jc w:val="left"/>
              <w:rPr/>
            </w:pPr>
            <w:r>
              <w:rPr>
                <w:b w:val="0"/>
                <w:bCs w:val="0"/>
                <w:color w:val="222222"/>
                <w:sz w:val="18"/>
                <w:szCs w:val="18"/>
              </w:rPr>
              <w:t xml:space="preserve">Low</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4460" w:type="dxa"/>
            <w:vAlign w:val="center"/>
          </w:tcPr>
          <w:p>
            <w:pPr>
              <w:pBdr/>
              <w:spacing/>
              <w:ind/>
              <w:jc w:val="right"/>
              <w:rPr/>
            </w:pPr>
            <w:r>
              <w:rPr>
                <w:b w:val="0"/>
                <w:bCs w:val="0"/>
                <w:color w:val="222222"/>
                <w:sz w:val="18"/>
                <w:szCs w:val="18"/>
              </w:rPr>
              <w:t xml:space="preserve">Build vintage-level calibration adjustments</w:t>
            </w:r>
            <w:r/>
          </w:p>
        </w:tc>
        <w:tc>
          <w:tcPr>
            <w:tcBorders>
              <w:top w:val="single" w:color="d9d9d9" w:sz="2" w:space="0"/>
              <w:left w:val="single" w:color="d9d9d9" w:sz="2" w:space="0"/>
              <w:bottom w:val="single" w:color="d9d9d9" w:sz="2" w:space="0"/>
              <w:right w:val="single" w:color="d9d9d9" w:sz="2" w:space="0"/>
            </w:tcBorders>
            <w:tcMar>
              <w:left w:w="120" w:type="dxa"/>
              <w:top w:w="70" w:type="dxa"/>
              <w:right w:w="120" w:type="dxa"/>
              <w:bottom w:w="70" w:type="dxa"/>
            </w:tcMar>
            <w:tcW w:w="3500" w:type="dxa"/>
            <w:vAlign w:val="center"/>
          </w:tcPr>
          <w:p>
            <w:pPr>
              <w:pBdr/>
              <w:spacing/>
              <w:ind/>
              <w:jc w:val="right"/>
              <w:rPr/>
            </w:pPr>
            <w:r>
              <w:rPr>
                <w:b w:val="0"/>
                <w:bCs w:val="0"/>
                <w:color w:val="222222"/>
                <w:sz w:val="18"/>
                <w:szCs w:val="18"/>
              </w:rPr>
              <w:t xml:space="preserve">Reduce over-prediction for lower-risk grades (A, B)</w:t>
            </w:r>
            <w:r/>
          </w:p>
        </w:tc>
      </w:tr>
    </w:tbl>
    <w:p>
      <w:pPr>
        <w:pBdr/>
        <w:spacing w:after="300"/>
        <w:ind/>
        <w:rPr/>
      </w:pPr>
      <w:r/>
      <w:r/>
    </w:p>
    <w:p>
      <w:pPr>
        <w:pBdr/>
        <w:spacing/>
        <w:ind/>
        <w:jc w:val="center"/>
        <w:rPr/>
      </w:pPr>
      <w:r>
        <w:rPr>
          <w:i/>
          <w:iCs/>
          <w:color w:val="444444"/>
          <w:sz w:val="18"/>
          <w:szCs w:val="18"/>
        </w:rPr>
        <w:t xml:space="preserve">End of Report</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of </w:t>
    </w:r>
    <w:r>
      <w:rPr>
        <w:color w:val="444444"/>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right" w:leader="none" w:pos="9026"/>
      </w:tabs>
      <w:spacing/>
      <w:ind/>
      <w:rPr/>
    </w:pPr>
    <w:r>
      <w:rPr>
        <w:color w:val="444444"/>
        <w:sz w:val="16"/>
        <w:szCs w:val="16"/>
      </w:rPr>
      <w:t xml:space="preserve">Credit Risk Modeling Report — Basel II/III Expected Loss Framework</w:t>
    </w:r>
    <w:r>
      <w:rPr>
        <w:b/>
        <w:bCs/>
        <w:color w:val="e05c5c"/>
        <w:sz w:val="16"/>
        <w:szCs w:val="16"/>
      </w:rPr>
      <w:tab/>
      <w:t xml:space="preserve">CONFIDENTIAL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2222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5"/>
    <w:uiPriority w:val="9"/>
    <w:pPr>
      <w:pBdr/>
      <w:spacing/>
      <w:ind/>
    </w:pPr>
    <w:rPr>
      <w:rFonts w:ascii="Arial" w:hAnsi="Arial" w:eastAsia="Arial" w:cs="Arial"/>
      <w:i/>
      <w:iCs/>
      <w:color w:val="0f4761" w:themeColor="accent1" w:themeShade="BF"/>
    </w:rPr>
  </w:style>
  <w:style w:type="character" w:styleId="154">
    <w:name w:val="Heading 5 Char"/>
    <w:basedOn w:val="148"/>
    <w:link w:val="736"/>
    <w:uiPriority w:val="9"/>
    <w:pPr>
      <w:pBdr/>
      <w:spacing/>
      <w:ind/>
    </w:pPr>
    <w:rPr>
      <w:rFonts w:ascii="Arial" w:hAnsi="Arial" w:eastAsia="Arial" w:cs="Arial"/>
      <w:color w:val="0f4761" w:themeColor="accent1" w:themeShade="BF"/>
    </w:rPr>
  </w:style>
  <w:style w:type="character" w:styleId="155">
    <w:name w:val="Heading 6 Char"/>
    <w:basedOn w:val="148"/>
    <w:link w:val="73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1">
    <w:name w:val="Title"/>
    <w:qFormat/>
    <w:pPr>
      <w:pBdr/>
      <w:spacing/>
      <w:ind/>
    </w:pPr>
    <w:rPr>
      <w:sz w:val="56"/>
      <w:szCs w:val="56"/>
    </w:rPr>
  </w:style>
  <w:style w:type="paragraph" w:styleId="735">
    <w:name w:val="Heading 4"/>
    <w:qFormat/>
    <w:pPr>
      <w:pBdr/>
      <w:spacing/>
      <w:ind/>
    </w:pPr>
    <w:rPr>
      <w:i/>
      <w:iCs/>
      <w:color w:val="2e74b5"/>
    </w:rPr>
  </w:style>
  <w:style w:type="paragraph" w:styleId="736">
    <w:name w:val="Heading 5"/>
    <w:qFormat/>
    <w:pPr>
      <w:pBdr/>
      <w:spacing/>
      <w:ind/>
    </w:pPr>
    <w:rPr>
      <w:color w:val="2e74b5"/>
    </w:rPr>
  </w:style>
  <w:style w:type="paragraph" w:styleId="737">
    <w:name w:val="Heading 6"/>
    <w:qFormat/>
    <w:pPr>
      <w:pBdr/>
      <w:spacing/>
      <w:ind/>
    </w:pPr>
    <w:rPr>
      <w:color w:val="1f4d78"/>
    </w:rPr>
  </w:style>
  <w:style w:type="paragraph" w:styleId="738">
    <w:name w:val="Strong"/>
    <w:qFormat/>
    <w:pPr>
      <w:pBdr/>
      <w:spacing/>
      <w:ind/>
    </w:pPr>
    <w:rPr>
      <w:b/>
      <w:bCs/>
    </w:rPr>
  </w:style>
  <w:style w:type="paragraph" w:styleId="739">
    <w:name w:val="List Paragraph"/>
    <w:qFormat/>
    <w:pPr>
      <w:pBdr/>
      <w:spacing/>
      <w:ind/>
    </w:pPr>
  </w:style>
  <w:style w:type="character" w:styleId="740">
    <w:name w:val="Hyperlink"/>
    <w:uiPriority w:val="99"/>
    <w:unhideWhenUsed/>
    <w:pPr>
      <w:pBdr/>
      <w:spacing/>
      <w:ind/>
    </w:pPr>
    <w:rPr>
      <w:color w:val="0563c1"/>
      <w:u w:val="single"/>
    </w:rPr>
  </w:style>
  <w:style w:type="character" w:styleId="741">
    <w:name w:val="footnote reference"/>
    <w:uiPriority w:val="99"/>
    <w:semiHidden/>
    <w:unhideWhenUsed/>
    <w:pPr>
      <w:pBdr/>
      <w:spacing/>
      <w:ind/>
    </w:pPr>
    <w:rPr>
      <w:vertAlign w:val="superscript"/>
    </w:rPr>
  </w:style>
  <w:style w:type="paragraph" w:styleId="742">
    <w:name w:val="footnote text"/>
    <w:link w:val="743"/>
    <w:uiPriority w:val="99"/>
    <w:semiHidden/>
    <w:unhideWhenUsed/>
    <w:pPr>
      <w:pBdr/>
      <w:spacing w:after="0" w:line="240" w:lineRule="auto"/>
      <w:ind/>
    </w:pPr>
    <w:rPr>
      <w:sz w:val="20"/>
      <w:szCs w:val="20"/>
    </w:rPr>
  </w:style>
  <w:style w:type="character" w:styleId="743">
    <w:name w:val="Footnote Text Char"/>
    <w:link w:val="742"/>
    <w:uiPriority w:val="99"/>
    <w:semiHidden/>
    <w:unhideWhenUsed/>
    <w:pPr>
      <w:pBdr/>
      <w:spacing/>
      <w:ind/>
    </w:pPr>
    <w:rPr>
      <w:sz w:val="20"/>
      <w:szCs w:val="20"/>
    </w:rPr>
  </w:style>
  <w:style w:type="character" w:styleId="744">
    <w:name w:val="endnote reference"/>
    <w:uiPriority w:val="99"/>
    <w:semiHidden/>
    <w:unhideWhenUsed/>
    <w:pPr>
      <w:pBdr/>
      <w:spacing/>
      <w:ind/>
    </w:pPr>
    <w:rPr>
      <w:vertAlign w:val="superscript"/>
    </w:rPr>
  </w:style>
  <w:style w:type="paragraph" w:styleId="745">
    <w:name w:val="endnote text"/>
    <w:link w:val="746"/>
    <w:uiPriority w:val="99"/>
    <w:semiHidden/>
    <w:unhideWhenUsed/>
    <w:pPr>
      <w:pBdr/>
      <w:spacing w:after="0" w:line="240" w:lineRule="auto"/>
      <w:ind/>
    </w:pPr>
    <w:rPr>
      <w:sz w:val="20"/>
      <w:szCs w:val="20"/>
    </w:rPr>
  </w:style>
  <w:style w:type="character" w:styleId="746">
    <w:name w:val="Endnote Text Char"/>
    <w:link w:val="745"/>
    <w:uiPriority w:val="99"/>
    <w:semiHidden/>
    <w:unhideWhenUsed/>
    <w:pPr>
      <w:pBdr/>
      <w:spacing/>
      <w:ind/>
    </w:pPr>
    <w:rPr>
      <w:sz w:val="20"/>
      <w:szCs w:val="20"/>
    </w:rPr>
  </w:style>
  <w:style w:type="paragraph" w:styleId="747">
    <w:name w:val="Heading 1"/>
    <w:qFormat/>
    <w:pPr>
      <w:pBdr/>
      <w:spacing w:after="200" w:before="100"/>
      <w:ind/>
      <w:outlineLvl w:val="0"/>
    </w:pPr>
    <w:rPr>
      <w:rFonts w:ascii="Arial" w:hAnsi="Arial" w:eastAsia="Arial" w:cs="Arial"/>
      <w:b/>
      <w:bCs/>
      <w:color w:val="1a3a5c"/>
      <w:sz w:val="30"/>
      <w:szCs w:val="30"/>
    </w:rPr>
  </w:style>
  <w:style w:type="paragraph" w:styleId="748">
    <w:name w:val="Heading 2"/>
    <w:qFormat/>
    <w:pPr>
      <w:pBdr/>
      <w:spacing w:after="140" w:before="240"/>
      <w:ind/>
      <w:outlineLvl w:val="1"/>
    </w:pPr>
    <w:rPr>
      <w:rFonts w:ascii="Arial" w:hAnsi="Arial" w:eastAsia="Arial" w:cs="Arial"/>
      <w:b/>
      <w:bCs/>
      <w:color w:val="1a3a5c"/>
      <w:sz w:val="24"/>
      <w:szCs w:val="24"/>
    </w:rPr>
  </w:style>
  <w:style w:type="paragraph" w:styleId="749">
    <w:name w:val="Heading 3"/>
    <w:qFormat/>
    <w:pPr>
      <w:pBdr/>
      <w:spacing w:after="100" w:before="180"/>
      <w:ind/>
      <w:outlineLvl w:val="2"/>
    </w:pPr>
    <w:rPr>
      <w:rFonts w:ascii="Arial" w:hAnsi="Arial" w:eastAsia="Arial" w:cs="Arial"/>
      <w:b/>
      <w:bCs/>
      <w:color w:val="e05c5c"/>
      <w:sz w:val="21"/>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2026-07-20T03:17:19Z</dcterms:created>
  <dcterms:modified xsi:type="dcterms:W3CDTF">2026-07-20T03:19:02Z</dcterms:modified>
</cp:coreProperties>
</file>