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 del sistema RedLila</w:t>
      </w:r>
    </w:p>
    <w:p>
      <w:pPr>
        <w:pStyle w:val="Subtitle"/>
      </w:pPr>
      <w:r>
        <w:t>Funcionamiento, arquitectura, módulos y preparación para la entrega</w:t>
      </w:r>
    </w:p>
    <w:p>
      <w:pPr>
        <w:spacing w:after="40"/>
      </w:pPr>
      <w:r>
        <w:rPr>
          <w:b/>
        </w:rPr>
        <w:t xml:space="preserve">Autor: </w:t>
      </w:r>
      <w:r>
        <w:t>Diego Janco Paco</w:t>
      </w:r>
    </w:p>
    <w:p>
      <w:pPr>
        <w:spacing w:after="40"/>
      </w:pPr>
      <w:r>
        <w:rPr>
          <w:b/>
        </w:rPr>
        <w:t xml:space="preserve">Asignatura: </w:t>
      </w:r>
      <w:r>
        <w:t>Diseño y Programación Web III · Gestión 2026</w:t>
      </w:r>
    </w:p>
    <w:p>
      <w:pPr>
        <w:spacing w:after="220"/>
      </w:pPr>
      <w:r>
        <w:rPr>
          <w:b/>
        </w:rPr>
        <w:t xml:space="preserve">Fecha del informe: </w:t>
      </w:r>
      <w:r>
        <w:t>21 de octubre de 2026</w:t>
      </w:r>
    </w:p>
    <w:p>
      <w:pPr>
        <w:pStyle w:val="Heading1"/>
      </w:pPr>
      <w:r>
        <w:t>Resumen del sistema</w:t>
      </w:r>
    </w:p>
    <w:p>
      <w:r>
        <w:t>RedLila es una aplicación web educativa e interactiva sobre la lucha contra la violencia hacia la mujer. El sistema reúne contenido informativo, un Violentómetro Digital que calcula una orientación educativa y un directorio de ayuda para Bolivia. La aplicación fue construida como un proyecto académico individual de Diego Janco Paco.</w:t>
      </w:r>
    </w:p>
    <w:p>
      <w:r>
        <w:t>La interfaz consulta preguntas y contactos desde MySQL mediante una API Node.js. Durante el quiz, las respuestas seleccionadas se mantienen en memoria del navegador; al enviar, el servidor valida los identificadores, calcula el nivel y guarda el resultado agregado. Además, incrementa contadores por opción sin conservar la combinación elegida por una persona.</w:t>
      </w:r>
    </w:p>
    <w:p>
      <w:r>
        <w:t>La versión actual funciona en el entorno local del proyecto. El despliegue público todavía está pendiente; por tanto, la dirección localhost no puede usarse como URL de entrega. Antes de presentar el formulario oficial, habrá que publicar frontend, API y base de datos con acceso HTTPS y comprobarlos desde otro dispositivo.</w:t>
      </w:r>
    </w:p>
    <w:p>
      <w:pPr>
        <w:pStyle w:val="Heading1"/>
      </w:pPr>
      <w:r>
        <w:t>Propósito y alcance</w:t>
      </w:r>
    </w:p>
    <w:p>
      <w:r>
        <w:t>El objetivo de RedLila es facilitar el reconocimiento de conductas que pueden constituir violencia, ofrecer información educativa y acercar opciones de apoyo. La herramienta está dirigida a estudiantes y público general. No requiere registro de cuenta y no pretende sustituir a profesionales, servicios de emergencia ni asesoría legal.</w:t>
      </w:r>
    </w:p>
    <w:p>
      <w:r>
        <w:t>El alcance funcional incluye las secciones de Inicio, Información, Quiz, Resultados, Ayuda y Desarrolladores. El backend expone preguntas, procesa resultados y entrega líneas de ayuda. La base de datos conserva el contenido del quiz, el directorio y datos agregados para estadísticas. No existe un panel administrativo; preguntas y contactos se mantienen mediante SQL.</w:t>
      </w:r>
    </w:p>
    <w:p>
      <w:pPr>
        <w:pStyle w:val="Heading1"/>
      </w:pPr>
      <w:r>
        <w:t>Relación con la convocatoria</w:t>
      </w:r>
    </w:p>
    <w:tbl>
      <w:tblPr>
        <w:tblW w:type="auto" w:w="0"/>
        <w:jc w:val="center"/>
        <w:tblLayout w:type="fixed"/>
        <w:tblLook w:firstColumn="1" w:firstRow="1" w:lastColumn="0" w:lastRow="0" w:noHBand="0" w:noVBand="1" w:val="04A0"/>
        <w:tblBorders>
          <w:top w:val="single" w:sz="5" w:space="0" w:color="D9DEE8"/>
          <w:left w:val="single" w:sz="5" w:space="0" w:color="D9DEE8"/>
          <w:bottom w:val="single" w:sz="5" w:space="0" w:color="D9DEE8"/>
          <w:right w:val="single" w:sz="5" w:space="0" w:color="D9DEE8"/>
          <w:insideH w:val="single" w:sz="5" w:space="0" w:color="D9DEE8"/>
          <w:insideV w:val="single" w:sz="5" w:space="0" w:color="D9DEE8"/>
        </w:tblBorders>
      </w:tblPr>
      <w:tblGrid>
        <w:gridCol w:w="3293"/>
        <w:gridCol w:w="3293"/>
        <w:gridCol w:w="3293"/>
      </w:tblGrid>
      <w:tr>
        <w:trPr>
          <w:tblHeader w:val="true"/>
          <w:cantSplit/>
        </w:trPr>
        <w:tc>
          <w:tcPr>
            <w:tcW w:type="dxa" w:w="2045"/>
            <w:vAlign w:val="center"/>
            <w:shd w:fill="25304A"/>
            <w:tcMar>
              <w:top w:w="110" w:type="dxa"/>
              <w:start w:w="115" w:type="dxa"/>
              <w:bottom w:w="110" w:type="dxa"/>
              <w:end w:w="115" w:type="dxa"/>
            </w:tcMar>
          </w:tcPr>
          <w:p>
            <w:pPr>
              <w:keepLines/>
              <w:spacing w:after="0"/>
            </w:pPr>
            <w:r>
              <w:rPr>
                <w:rFonts w:ascii="Aptos" w:hAnsi="Aptos"/>
                <w:b/>
                <w:color w:val="FFFFFF"/>
                <w:sz w:val="17"/>
              </w:rPr>
              <w:t>Sección o criterio</w:t>
            </w:r>
          </w:p>
        </w:tc>
        <w:tc>
          <w:tcPr>
            <w:tcW w:type="dxa" w:w="4608"/>
            <w:vAlign w:val="center"/>
            <w:shd w:fill="25304A"/>
            <w:tcMar>
              <w:top w:w="110" w:type="dxa"/>
              <w:start w:w="115" w:type="dxa"/>
              <w:bottom w:w="110" w:type="dxa"/>
              <w:end w:w="115" w:type="dxa"/>
            </w:tcMar>
          </w:tcPr>
          <w:p>
            <w:pPr>
              <w:keepLines/>
              <w:spacing w:after="0"/>
            </w:pPr>
            <w:r>
              <w:rPr>
                <w:rFonts w:ascii="Aptos" w:hAnsi="Aptos"/>
                <w:b/>
                <w:color w:val="FFFFFF"/>
                <w:sz w:val="17"/>
              </w:rPr>
              <w:t>Implementación en RedLila</w:t>
            </w:r>
          </w:p>
        </w:tc>
        <w:tc>
          <w:tcPr>
            <w:tcW w:type="dxa" w:w="3168"/>
            <w:vAlign w:val="center"/>
            <w:shd w:fill="25304A"/>
            <w:tcMar>
              <w:top w:w="110" w:type="dxa"/>
              <w:start w:w="115" w:type="dxa"/>
              <w:bottom w:w="110" w:type="dxa"/>
              <w:end w:w="115" w:type="dxa"/>
            </w:tcMar>
          </w:tcPr>
          <w:p>
            <w:pPr>
              <w:keepLines/>
              <w:spacing w:after="0"/>
            </w:pPr>
            <w:r>
              <w:rPr>
                <w:rFonts w:ascii="Aptos" w:hAnsi="Aptos"/>
                <w:b/>
                <w:color w:val="FFFFFF"/>
                <w:sz w:val="17"/>
              </w:rPr>
              <w:t>Estado y observación</w:t>
            </w:r>
          </w:p>
        </w:tc>
      </w:tr>
      <w:tr>
        <w:trPr>
          <w:cantSplit/>
        </w:trPr>
        <w:tc>
          <w:tcPr>
            <w:tcW w:type="dxa" w:w="2045"/>
            <w:vAlign w:val="center"/>
            <w:tcMar>
              <w:top w:w="110" w:type="dxa"/>
              <w:start w:w="115" w:type="dxa"/>
              <w:bottom w:w="110" w:type="dxa"/>
              <w:end w:w="115" w:type="dxa"/>
            </w:tcMar>
          </w:tcPr>
          <w:p>
            <w:pPr>
              <w:keepLines/>
              <w:spacing w:after="0" w:line="252" w:lineRule="auto"/>
            </w:pPr>
            <w:r>
              <w:rPr>
                <w:rFonts w:ascii="Aptos" w:hAnsi="Aptos"/>
                <w:color w:val="202536"/>
                <w:sz w:val="16"/>
              </w:rPr>
              <w:t>A. Inicio y presentación</w:t>
            </w:r>
          </w:p>
        </w:tc>
        <w:tc>
          <w:tcPr>
            <w:tcW w:type="dxa" w:w="4608"/>
            <w:vAlign w:val="center"/>
            <w:tcMar>
              <w:top w:w="110" w:type="dxa"/>
              <w:start w:w="115" w:type="dxa"/>
              <w:bottom w:w="110" w:type="dxa"/>
              <w:end w:w="115" w:type="dxa"/>
            </w:tcMar>
          </w:tcPr>
          <w:p>
            <w:pPr>
              <w:keepLines/>
              <w:spacing w:after="0" w:line="252" w:lineRule="auto"/>
            </w:pPr>
            <w:r>
              <w:rPr>
                <w:rFonts w:ascii="Aptos" w:hAnsi="Aptos"/>
                <w:color w:val="202536"/>
                <w:sz w:val="16"/>
              </w:rPr>
              <w:t>Portada con objetivo, frase motivadora, acceso al quiz, a Información y al directorio.</w:t>
            </w:r>
          </w:p>
        </w:tc>
        <w:tc>
          <w:tcPr>
            <w:tcW w:type="dxa" w:w="3168"/>
            <w:vAlign w:val="center"/>
            <w:tcMar>
              <w:top w:w="110" w:type="dxa"/>
              <w:start w:w="115" w:type="dxa"/>
              <w:bottom w:w="110" w:type="dxa"/>
              <w:end w:w="115" w:type="dxa"/>
            </w:tcMar>
          </w:tcPr>
          <w:p>
            <w:pPr>
              <w:keepLines/>
              <w:spacing w:after="0" w:line="252" w:lineRule="auto"/>
            </w:pPr>
            <w:r>
              <w:rPr>
                <w:rFonts w:ascii="Aptos" w:hAnsi="Aptos"/>
                <w:color w:val="202536"/>
                <w:sz w:val="16"/>
              </w:rPr>
              <w:t>Implementada; la ruta directa al material informativo está disponible desde el menú y la portada.</w:t>
            </w:r>
          </w:p>
        </w:tc>
      </w:tr>
      <w:tr>
        <w:trPr>
          <w:cantSplit/>
        </w:trPr>
        <w:tc>
          <w:tcPr>
            <w:tcW w:type="dxa" w:w="2045"/>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B. Sección informativa</w:t>
            </w:r>
          </w:p>
        </w:tc>
        <w:tc>
          <w:tcPr>
            <w:tcW w:type="dxa" w:w="4608"/>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Tipos de violencia, recomendaciones de seguridad, recursos legales y fuentes enlazadas.</w:t>
            </w:r>
          </w:p>
        </w:tc>
        <w:tc>
          <w:tcPr>
            <w:tcW w:type="dxa" w:w="3168"/>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Implementada en la ruta /informacion.</w:t>
            </w:r>
          </w:p>
        </w:tc>
      </w:tr>
      <w:tr>
        <w:trPr>
          <w:cantSplit/>
        </w:trPr>
        <w:tc>
          <w:tcPr>
            <w:tcW w:type="dxa" w:w="2045"/>
            <w:vAlign w:val="center"/>
            <w:tcMar>
              <w:top w:w="110" w:type="dxa"/>
              <w:start w:w="115" w:type="dxa"/>
              <w:bottom w:w="110" w:type="dxa"/>
              <w:end w:w="115" w:type="dxa"/>
            </w:tcMar>
          </w:tcPr>
          <w:p>
            <w:pPr>
              <w:keepLines/>
              <w:spacing w:after="0" w:line="252" w:lineRule="auto"/>
            </w:pPr>
            <w:r>
              <w:rPr>
                <w:rFonts w:ascii="Aptos" w:hAnsi="Aptos"/>
                <w:color w:val="202536"/>
                <w:sz w:val="16"/>
              </w:rPr>
              <w:t>C. Quiz interactivo</w:t>
            </w:r>
          </w:p>
        </w:tc>
        <w:tc>
          <w:tcPr>
            <w:tcW w:type="dxa" w:w="4608"/>
            <w:vAlign w:val="center"/>
            <w:tcMar>
              <w:top w:w="110" w:type="dxa"/>
              <w:start w:w="115" w:type="dxa"/>
              <w:bottom w:w="110" w:type="dxa"/>
              <w:end w:w="115" w:type="dxa"/>
            </w:tcMar>
          </w:tcPr>
          <w:p>
            <w:pPr>
              <w:keepLines/>
              <w:spacing w:after="0" w:line="252" w:lineRule="auto"/>
            </w:pPr>
            <w:r>
              <w:rPr>
                <w:rFonts w:ascii="Aptos" w:hAnsi="Aptos"/>
                <w:color w:val="202536"/>
                <w:sz w:val="16"/>
              </w:rPr>
              <w:t>Preguntas MySQL, opciones sin puntaje visible, validación, clasificación y estadísticas agregadas.</w:t>
            </w:r>
          </w:p>
        </w:tc>
        <w:tc>
          <w:tcPr>
            <w:tcW w:type="dxa" w:w="3168"/>
            <w:vAlign w:val="center"/>
            <w:tcMar>
              <w:top w:w="110" w:type="dxa"/>
              <w:start w:w="115" w:type="dxa"/>
              <w:bottom w:w="110" w:type="dxa"/>
              <w:end w:w="115" w:type="dxa"/>
            </w:tcMar>
          </w:tcPr>
          <w:p>
            <w:pPr>
              <w:keepLines/>
              <w:spacing w:after="0" w:line="252" w:lineRule="auto"/>
            </w:pPr>
            <w:r>
              <w:rPr>
                <w:rFonts w:ascii="Aptos" w:hAnsi="Aptos"/>
                <w:color w:val="202536"/>
                <w:sz w:val="16"/>
              </w:rPr>
              <w:t>Implementada; no se almacena la secuencia individual de respuestas.</w:t>
            </w:r>
          </w:p>
        </w:tc>
      </w:tr>
      <w:tr>
        <w:trPr>
          <w:cantSplit/>
        </w:trPr>
        <w:tc>
          <w:tcPr>
            <w:tcW w:type="dxa" w:w="2045"/>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D. Desarrolladores</w:t>
            </w:r>
          </w:p>
        </w:tc>
        <w:tc>
          <w:tcPr>
            <w:tcW w:type="dxa" w:w="4608"/>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Autor, propósito, tecnologías, funcionalidades y créditos de fuentes.</w:t>
            </w:r>
          </w:p>
        </w:tc>
        <w:tc>
          <w:tcPr>
            <w:tcW w:type="dxa" w:w="3168"/>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Autor identificado como Diego Janco Paco.</w:t>
            </w:r>
          </w:p>
        </w:tc>
      </w:tr>
      <w:tr>
        <w:trPr>
          <w:cantSplit/>
        </w:trPr>
        <w:tc>
          <w:tcPr>
            <w:tcW w:type="dxa" w:w="2045"/>
            <w:vAlign w:val="center"/>
            <w:tcMar>
              <w:top w:w="110" w:type="dxa"/>
              <w:start w:w="115" w:type="dxa"/>
              <w:bottom w:w="110" w:type="dxa"/>
              <w:end w:w="115" w:type="dxa"/>
            </w:tcMar>
          </w:tcPr>
          <w:p>
            <w:pPr>
              <w:keepLines/>
              <w:spacing w:after="0" w:line="252" w:lineRule="auto"/>
            </w:pPr>
            <w:r>
              <w:rPr>
                <w:rFonts w:ascii="Aptos" w:hAnsi="Aptos"/>
                <w:color w:val="202536"/>
                <w:sz w:val="16"/>
              </w:rPr>
              <w:t>Funcionamiento y propósito · 25 puntos</w:t>
            </w:r>
          </w:p>
        </w:tc>
        <w:tc>
          <w:tcPr>
            <w:tcW w:type="dxa" w:w="4608"/>
            <w:vAlign w:val="center"/>
            <w:tcMar>
              <w:top w:w="110" w:type="dxa"/>
              <w:start w:w="115" w:type="dxa"/>
              <w:bottom w:w="110" w:type="dxa"/>
              <w:end w:w="115" w:type="dxa"/>
            </w:tcMar>
          </w:tcPr>
          <w:p>
            <w:pPr>
              <w:keepLines/>
              <w:spacing w:after="0" w:line="252" w:lineRule="auto"/>
            </w:pPr>
            <w:r>
              <w:rPr>
                <w:rFonts w:ascii="Aptos" w:hAnsi="Aptos"/>
                <w:color w:val="202536"/>
                <w:sz w:val="16"/>
              </w:rPr>
              <w:t>Flujo del quiz conectado a API y base de datos, resultados y ayuda.</w:t>
            </w:r>
          </w:p>
        </w:tc>
        <w:tc>
          <w:tcPr>
            <w:tcW w:type="dxa" w:w="3168"/>
            <w:vAlign w:val="center"/>
            <w:tcMar>
              <w:top w:w="110" w:type="dxa"/>
              <w:start w:w="115" w:type="dxa"/>
              <w:bottom w:w="110" w:type="dxa"/>
              <w:end w:w="115" w:type="dxa"/>
            </w:tcMar>
          </w:tcPr>
          <w:p>
            <w:pPr>
              <w:keepLines/>
              <w:spacing w:after="0" w:line="252" w:lineRule="auto"/>
            </w:pPr>
            <w:r>
              <w:rPr>
                <w:rFonts w:ascii="Aptos" w:hAnsi="Aptos"/>
                <w:color w:val="202536"/>
                <w:sz w:val="16"/>
              </w:rPr>
              <w:t>Requiere demostrarlo con el sitio publicado durante la evaluación.</w:t>
            </w:r>
          </w:p>
        </w:tc>
      </w:tr>
      <w:tr>
        <w:trPr>
          <w:cantSplit/>
        </w:trPr>
        <w:tc>
          <w:tcPr>
            <w:tcW w:type="dxa" w:w="2045"/>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Pertinencia temática · 25 puntos</w:t>
            </w:r>
          </w:p>
        </w:tc>
        <w:tc>
          <w:tcPr>
            <w:tcW w:type="dxa" w:w="4608"/>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Contenido educativo contra la violencia y directorio boliviano.</w:t>
            </w:r>
          </w:p>
        </w:tc>
        <w:tc>
          <w:tcPr>
            <w:tcW w:type="dxa" w:w="3168"/>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Fuentes enlazadas; revisar vigencia operativa de contactos antes de publicar.</w:t>
            </w:r>
          </w:p>
        </w:tc>
      </w:tr>
      <w:tr>
        <w:trPr>
          <w:cantSplit/>
        </w:trPr>
        <w:tc>
          <w:tcPr>
            <w:tcW w:type="dxa" w:w="2045"/>
            <w:vAlign w:val="center"/>
            <w:tcMar>
              <w:top w:w="110" w:type="dxa"/>
              <w:start w:w="115" w:type="dxa"/>
              <w:bottom w:w="110" w:type="dxa"/>
              <w:end w:w="115" w:type="dxa"/>
            </w:tcMar>
          </w:tcPr>
          <w:p>
            <w:pPr>
              <w:keepLines/>
              <w:spacing w:after="0" w:line="252" w:lineRule="auto"/>
            </w:pPr>
            <w:r>
              <w:rPr>
                <w:rFonts w:ascii="Aptos" w:hAnsi="Aptos"/>
                <w:color w:val="202536"/>
                <w:sz w:val="16"/>
              </w:rPr>
              <w:t>Diseño y adaptación · 25 puntos</w:t>
            </w:r>
          </w:p>
        </w:tc>
        <w:tc>
          <w:tcPr>
            <w:tcW w:type="dxa" w:w="4608"/>
            <w:vAlign w:val="center"/>
            <w:tcMar>
              <w:top w:w="110" w:type="dxa"/>
              <w:start w:w="115" w:type="dxa"/>
              <w:bottom w:w="110" w:type="dxa"/>
              <w:end w:w="115" w:type="dxa"/>
            </w:tcMar>
          </w:tcPr>
          <w:p>
            <w:pPr>
              <w:keepLines/>
              <w:spacing w:after="0" w:line="252" w:lineRule="auto"/>
            </w:pPr>
            <w:r>
              <w:rPr>
                <w:rFonts w:ascii="Aptos" w:hAnsi="Aptos"/>
                <w:color w:val="202536"/>
                <w:sz w:val="16"/>
              </w:rPr>
              <w:t>Interfaz adaptable con CSS responsivo y controles táctiles.</w:t>
            </w:r>
          </w:p>
        </w:tc>
        <w:tc>
          <w:tcPr>
            <w:tcW w:type="dxa" w:w="3168"/>
            <w:vAlign w:val="center"/>
            <w:tcMar>
              <w:top w:w="110" w:type="dxa"/>
              <w:start w:w="115" w:type="dxa"/>
              <w:bottom w:w="110" w:type="dxa"/>
              <w:end w:w="115" w:type="dxa"/>
            </w:tcMar>
          </w:tcPr>
          <w:p>
            <w:pPr>
              <w:keepLines/>
              <w:spacing w:after="0" w:line="252" w:lineRule="auto"/>
            </w:pPr>
            <w:r>
              <w:rPr>
                <w:rFonts w:ascii="Aptos" w:hAnsi="Aptos"/>
                <w:color w:val="202536"/>
                <w:sz w:val="16"/>
              </w:rPr>
              <w:t>Verificar también en un teléfono físico.</w:t>
            </w:r>
          </w:p>
        </w:tc>
      </w:tr>
      <w:tr>
        <w:trPr>
          <w:cantSplit/>
        </w:trPr>
        <w:tc>
          <w:tcPr>
            <w:tcW w:type="dxa" w:w="2045"/>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Creatividad e innovación · 25 puntos</w:t>
            </w:r>
          </w:p>
        </w:tc>
        <w:tc>
          <w:tcPr>
            <w:tcW w:type="dxa" w:w="4608"/>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Quiz dinámico, indicadores de riesgo crítico, directorio departamental y salida rápida.</w:t>
            </w:r>
          </w:p>
        </w:tc>
        <w:tc>
          <w:tcPr>
            <w:tcW w:type="dxa" w:w="3168"/>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El quiz es una herramienta educativa, no un instrumento clínico validado.</w:t>
            </w:r>
          </w:p>
        </w:tc>
      </w:tr>
    </w:tbl>
    <w:p>
      <w:pPr>
        <w:spacing w:after="20"/>
      </w:pPr>
    </w:p>
    <w:p>
      <w:pPr>
        <w:pStyle w:val="Heading1"/>
      </w:pPr>
      <w:r>
        <w:t>Arquitectura técnica</w:t>
      </w:r>
    </w:p>
    <w:p>
      <w:r>
        <w:t>RedLila usa una arquitectura web de tres capas. React ejecuta la interfaz en el navegador; Express recibe las solicitudes HTTP y aplica las reglas del quiz; MySQL guarda el contenido y los registros agregados. El navegador no accede directamente a la base de datos.</w:t>
      </w:r>
    </w:p>
    <w:p>
      <w:pPr>
        <w:jc w:val="center"/>
      </w:pPr>
      <w:r>
        <w:rPr>
          <w:b/>
          <w:color w:val="167F79"/>
          <w:sz w:val="24"/>
        </w:rPr>
        <w:t>Navegador React  →  API Node.js y Express  →  MySQL 8</w:t>
      </w:r>
    </w:p>
    <w:tbl>
      <w:tblPr>
        <w:tblW w:type="auto" w:w="0"/>
        <w:jc w:val="center"/>
        <w:tblLayout w:type="fixed"/>
        <w:tblLook w:firstColumn="1" w:firstRow="1" w:lastColumn="0" w:lastRow="0" w:noHBand="0" w:noVBand="1" w:val="04A0"/>
        <w:tblBorders>
          <w:top w:val="single" w:sz="5" w:space="0" w:color="D9DEE8"/>
          <w:left w:val="single" w:sz="5" w:space="0" w:color="D9DEE8"/>
          <w:bottom w:val="single" w:sz="5" w:space="0" w:color="D9DEE8"/>
          <w:right w:val="single" w:sz="5" w:space="0" w:color="D9DEE8"/>
          <w:insideH w:val="single" w:sz="5" w:space="0" w:color="D9DEE8"/>
          <w:insideV w:val="single" w:sz="5" w:space="0" w:color="D9DEE8"/>
        </w:tblBorders>
      </w:tblPr>
      <w:tblGrid>
        <w:gridCol w:w="3293"/>
        <w:gridCol w:w="3293"/>
        <w:gridCol w:w="3293"/>
      </w:tblGrid>
      <w:tr>
        <w:trPr>
          <w:tblHeader w:val="true"/>
          <w:cantSplit/>
        </w:trPr>
        <w:tc>
          <w:tcPr>
            <w:tcW w:type="dxa" w:w="1800"/>
            <w:vAlign w:val="center"/>
            <w:shd w:fill="25304A"/>
            <w:tcMar>
              <w:top w:w="110" w:type="dxa"/>
              <w:start w:w="115" w:type="dxa"/>
              <w:bottom w:w="110" w:type="dxa"/>
              <w:end w:w="115" w:type="dxa"/>
            </w:tcMar>
          </w:tcPr>
          <w:p>
            <w:pPr>
              <w:keepLines/>
              <w:spacing w:after="0"/>
            </w:pPr>
            <w:r>
              <w:rPr>
                <w:rFonts w:ascii="Aptos" w:hAnsi="Aptos"/>
                <w:b/>
                <w:color w:val="FFFFFF"/>
                <w:sz w:val="17"/>
              </w:rPr>
              <w:t>Capa</w:t>
            </w:r>
          </w:p>
        </w:tc>
        <w:tc>
          <w:tcPr>
            <w:tcW w:type="dxa" w:w="3384"/>
            <w:vAlign w:val="center"/>
            <w:shd w:fill="25304A"/>
            <w:tcMar>
              <w:top w:w="110" w:type="dxa"/>
              <w:start w:w="115" w:type="dxa"/>
              <w:bottom w:w="110" w:type="dxa"/>
              <w:end w:w="115" w:type="dxa"/>
            </w:tcMar>
          </w:tcPr>
          <w:p>
            <w:pPr>
              <w:keepLines/>
              <w:spacing w:after="0"/>
            </w:pPr>
            <w:r>
              <w:rPr>
                <w:rFonts w:ascii="Aptos" w:hAnsi="Aptos"/>
                <w:b/>
                <w:color w:val="FFFFFF"/>
                <w:sz w:val="17"/>
              </w:rPr>
              <w:t>Tecnología</w:t>
            </w:r>
          </w:p>
        </w:tc>
        <w:tc>
          <w:tcPr>
            <w:tcW w:type="dxa" w:w="4637"/>
            <w:vAlign w:val="center"/>
            <w:shd w:fill="25304A"/>
            <w:tcMar>
              <w:top w:w="110" w:type="dxa"/>
              <w:start w:w="115" w:type="dxa"/>
              <w:bottom w:w="110" w:type="dxa"/>
              <w:end w:w="115" w:type="dxa"/>
            </w:tcMar>
          </w:tcPr>
          <w:p>
            <w:pPr>
              <w:keepLines/>
              <w:spacing w:after="0"/>
            </w:pPr>
            <w:r>
              <w:rPr>
                <w:rFonts w:ascii="Aptos" w:hAnsi="Aptos"/>
                <w:b/>
                <w:color w:val="FFFFFF"/>
                <w:sz w:val="17"/>
              </w:rPr>
              <w:t>Responsabilidad</w:t>
            </w:r>
          </w:p>
        </w:tc>
      </w:tr>
      <w:tr>
        <w:trPr>
          <w:cantSplit/>
        </w:trPr>
        <w:tc>
          <w:tcPr>
            <w:tcW w:type="dxa" w:w="1800"/>
            <w:vAlign w:val="center"/>
            <w:tcMar>
              <w:top w:w="110" w:type="dxa"/>
              <w:start w:w="115" w:type="dxa"/>
              <w:bottom w:w="110" w:type="dxa"/>
              <w:end w:w="115" w:type="dxa"/>
            </w:tcMar>
          </w:tcPr>
          <w:p>
            <w:pPr>
              <w:keepLines/>
              <w:spacing w:after="0" w:line="252" w:lineRule="auto"/>
            </w:pPr>
            <w:r>
              <w:rPr>
                <w:rFonts w:ascii="Aptos" w:hAnsi="Aptos"/>
                <w:color w:val="202536"/>
                <w:sz w:val="17"/>
              </w:rPr>
              <w:t>Interfaz web</w:t>
            </w:r>
          </w:p>
        </w:tc>
        <w:tc>
          <w:tcPr>
            <w:tcW w:type="dxa" w:w="3384"/>
            <w:vAlign w:val="center"/>
            <w:tcMar>
              <w:top w:w="110" w:type="dxa"/>
              <w:start w:w="115" w:type="dxa"/>
              <w:bottom w:w="110" w:type="dxa"/>
              <w:end w:w="115" w:type="dxa"/>
            </w:tcMar>
          </w:tcPr>
          <w:p>
            <w:pPr>
              <w:keepLines/>
              <w:spacing w:after="0" w:line="252" w:lineRule="auto"/>
            </w:pPr>
            <w:r>
              <w:rPr>
                <w:rFonts w:ascii="Aptos" w:hAnsi="Aptos"/>
                <w:color w:val="202536"/>
                <w:sz w:val="17"/>
              </w:rPr>
              <w:t>React 18, React Router, Vite y CSS responsivo.</w:t>
            </w:r>
          </w:p>
        </w:tc>
        <w:tc>
          <w:tcPr>
            <w:tcW w:type="dxa" w:w="4637"/>
            <w:vAlign w:val="center"/>
            <w:tcMar>
              <w:top w:w="110" w:type="dxa"/>
              <w:start w:w="115" w:type="dxa"/>
              <w:bottom w:w="110" w:type="dxa"/>
              <w:end w:w="115" w:type="dxa"/>
            </w:tcMar>
          </w:tcPr>
          <w:p>
            <w:pPr>
              <w:keepLines/>
              <w:spacing w:after="0" w:line="252" w:lineRule="auto"/>
            </w:pPr>
            <w:r>
              <w:rPr>
                <w:rFonts w:ascii="Aptos" w:hAnsi="Aptos"/>
                <w:color w:val="202536"/>
                <w:sz w:val="17"/>
              </w:rPr>
              <w:t>Mostrar páginas, mantener el estado temporal del quiz, validar interacción básica y enviar solicitudes con fetch.</w:t>
            </w:r>
          </w:p>
        </w:tc>
      </w:tr>
      <w:tr>
        <w:trPr>
          <w:cantSplit/>
        </w:trPr>
        <w:tc>
          <w:tcPr>
            <w:tcW w:type="dxa" w:w="1800"/>
            <w:vAlign w:val="center"/>
            <w:tcMar>
              <w:top w:w="110" w:type="dxa"/>
              <w:start w:w="115" w:type="dxa"/>
              <w:bottom w:w="110" w:type="dxa"/>
              <w:end w:w="115" w:type="dxa"/>
            </w:tcMar>
            <w:shd w:fill="F1F4F9"/>
          </w:tcPr>
          <w:p>
            <w:pPr>
              <w:keepLines/>
              <w:spacing w:after="0" w:line="252" w:lineRule="auto"/>
            </w:pPr>
            <w:r>
              <w:rPr>
                <w:rFonts w:ascii="Aptos" w:hAnsi="Aptos"/>
                <w:color w:val="202536"/>
                <w:sz w:val="17"/>
              </w:rPr>
              <w:t>API</w:t>
            </w:r>
          </w:p>
        </w:tc>
        <w:tc>
          <w:tcPr>
            <w:tcW w:type="dxa" w:w="3384"/>
            <w:vAlign w:val="center"/>
            <w:tcMar>
              <w:top w:w="110" w:type="dxa"/>
              <w:start w:w="115" w:type="dxa"/>
              <w:bottom w:w="110" w:type="dxa"/>
              <w:end w:w="115" w:type="dxa"/>
            </w:tcMar>
            <w:shd w:fill="F1F4F9"/>
          </w:tcPr>
          <w:p>
            <w:pPr>
              <w:keepLines/>
              <w:spacing w:after="0" w:line="252" w:lineRule="auto"/>
            </w:pPr>
            <w:r>
              <w:rPr>
                <w:rFonts w:ascii="Aptos" w:hAnsi="Aptos"/>
                <w:color w:val="202536"/>
                <w:sz w:val="17"/>
              </w:rPr>
              <w:t>Node.js 20 o superior, Express, mysql2, cors y dotenv.</w:t>
            </w:r>
          </w:p>
        </w:tc>
        <w:tc>
          <w:tcPr>
            <w:tcW w:type="dxa" w:w="4637"/>
            <w:vAlign w:val="center"/>
            <w:tcMar>
              <w:top w:w="110" w:type="dxa"/>
              <w:start w:w="115" w:type="dxa"/>
              <w:bottom w:w="110" w:type="dxa"/>
              <w:end w:w="115" w:type="dxa"/>
            </w:tcMar>
            <w:shd w:fill="F1F4F9"/>
          </w:tcPr>
          <w:p>
            <w:pPr>
              <w:keepLines/>
              <w:spacing w:after="0" w:line="252" w:lineRule="auto"/>
            </w:pPr>
            <w:r>
              <w:rPr>
                <w:rFonts w:ascii="Aptos" w:hAnsi="Aptos"/>
                <w:color w:val="202536"/>
                <w:sz w:val="17"/>
              </w:rPr>
              <w:t>Publicar endpoints, validar respuestas, calcular puntajes, clasificar niveles y consultar o escribir datos.</w:t>
            </w:r>
          </w:p>
        </w:tc>
      </w:tr>
      <w:tr>
        <w:trPr>
          <w:cantSplit/>
        </w:trPr>
        <w:tc>
          <w:tcPr>
            <w:tcW w:type="dxa" w:w="1800"/>
            <w:vAlign w:val="center"/>
            <w:tcMar>
              <w:top w:w="110" w:type="dxa"/>
              <w:start w:w="115" w:type="dxa"/>
              <w:bottom w:w="110" w:type="dxa"/>
              <w:end w:w="115" w:type="dxa"/>
            </w:tcMar>
          </w:tcPr>
          <w:p>
            <w:pPr>
              <w:keepLines/>
              <w:spacing w:after="0" w:line="252" w:lineRule="auto"/>
            </w:pPr>
            <w:r>
              <w:rPr>
                <w:rFonts w:ascii="Aptos" w:hAnsi="Aptos"/>
                <w:color w:val="202536"/>
                <w:sz w:val="17"/>
              </w:rPr>
              <w:t>Persistencia</w:t>
            </w:r>
          </w:p>
        </w:tc>
        <w:tc>
          <w:tcPr>
            <w:tcW w:type="dxa" w:w="3384"/>
            <w:vAlign w:val="center"/>
            <w:tcMar>
              <w:top w:w="110" w:type="dxa"/>
              <w:start w:w="115" w:type="dxa"/>
              <w:bottom w:w="110" w:type="dxa"/>
              <w:end w:w="115" w:type="dxa"/>
            </w:tcMar>
          </w:tcPr>
          <w:p>
            <w:pPr>
              <w:keepLines/>
              <w:spacing w:after="0" w:line="252" w:lineRule="auto"/>
            </w:pPr>
            <w:r>
              <w:rPr>
                <w:rFonts w:ascii="Aptos" w:hAnsi="Aptos"/>
                <w:color w:val="202536"/>
                <w:sz w:val="17"/>
              </w:rPr>
              <w:t>MySQL 8, motor InnoDB y codificación utf8mb4.</w:t>
            </w:r>
          </w:p>
        </w:tc>
        <w:tc>
          <w:tcPr>
            <w:tcW w:type="dxa" w:w="4637"/>
            <w:vAlign w:val="center"/>
            <w:tcMar>
              <w:top w:w="110" w:type="dxa"/>
              <w:start w:w="115" w:type="dxa"/>
              <w:bottom w:w="110" w:type="dxa"/>
              <w:end w:w="115" w:type="dxa"/>
            </w:tcMar>
          </w:tcPr>
          <w:p>
            <w:pPr>
              <w:keepLines/>
              <w:spacing w:after="0" w:line="252" w:lineRule="auto"/>
            </w:pPr>
            <w:r>
              <w:rPr>
                <w:rFonts w:ascii="Aptos" w:hAnsi="Aptos"/>
                <w:color w:val="202536"/>
                <w:sz w:val="17"/>
              </w:rPr>
              <w:t>Mantener versiones, preguntas, opciones, resultados agregados, estadísticas por opción y líneas de ayuda.</w:t>
            </w:r>
          </w:p>
        </w:tc>
      </w:tr>
      <w:tr>
        <w:trPr>
          <w:cantSplit/>
        </w:trPr>
        <w:tc>
          <w:tcPr>
            <w:tcW w:type="dxa" w:w="1800"/>
            <w:vAlign w:val="center"/>
            <w:tcMar>
              <w:top w:w="110" w:type="dxa"/>
              <w:start w:w="115" w:type="dxa"/>
              <w:bottom w:w="110" w:type="dxa"/>
              <w:end w:w="115" w:type="dxa"/>
            </w:tcMar>
            <w:shd w:fill="F1F4F9"/>
          </w:tcPr>
          <w:p>
            <w:pPr>
              <w:keepLines/>
              <w:spacing w:after="0" w:line="252" w:lineRule="auto"/>
            </w:pPr>
            <w:r>
              <w:rPr>
                <w:rFonts w:ascii="Aptos" w:hAnsi="Aptos"/>
                <w:color w:val="202536"/>
                <w:sz w:val="17"/>
              </w:rPr>
              <w:t>Desarrollo local</w:t>
            </w:r>
          </w:p>
        </w:tc>
        <w:tc>
          <w:tcPr>
            <w:tcW w:type="dxa" w:w="3384"/>
            <w:vAlign w:val="center"/>
            <w:tcMar>
              <w:top w:w="110" w:type="dxa"/>
              <w:start w:w="115" w:type="dxa"/>
              <w:bottom w:w="110" w:type="dxa"/>
              <w:end w:w="115" w:type="dxa"/>
            </w:tcMar>
            <w:shd w:fill="F1F4F9"/>
          </w:tcPr>
          <w:p>
            <w:pPr>
              <w:keepLines/>
              <w:spacing w:after="0" w:line="252" w:lineRule="auto"/>
            </w:pPr>
            <w:r>
              <w:rPr>
                <w:rFonts w:ascii="Aptos" w:hAnsi="Aptos"/>
                <w:color w:val="202536"/>
                <w:sz w:val="17"/>
              </w:rPr>
              <w:t>Vite en 5173, API en 3001 y MySQL en 3306.</w:t>
            </w:r>
          </w:p>
        </w:tc>
        <w:tc>
          <w:tcPr>
            <w:tcW w:type="dxa" w:w="4637"/>
            <w:vAlign w:val="center"/>
            <w:tcMar>
              <w:top w:w="110" w:type="dxa"/>
              <w:start w:w="115" w:type="dxa"/>
              <w:bottom w:w="110" w:type="dxa"/>
              <w:end w:w="115" w:type="dxa"/>
            </w:tcMar>
            <w:shd w:fill="F1F4F9"/>
          </w:tcPr>
          <w:p>
            <w:pPr>
              <w:keepLines/>
              <w:spacing w:after="0" w:line="252" w:lineRule="auto"/>
            </w:pPr>
            <w:r>
              <w:rPr>
                <w:rFonts w:ascii="Aptos" w:hAnsi="Aptos"/>
                <w:color w:val="202536"/>
                <w:sz w:val="17"/>
              </w:rPr>
              <w:t>Permitir ejecutar las tres capas localmente mediante el script de arranque del proyecto.</w:t>
            </w:r>
          </w:p>
        </w:tc>
      </w:tr>
    </w:tbl>
    <w:p>
      <w:pPr>
        <w:spacing w:after="20"/>
      </w:pPr>
    </w:p>
    <w:p>
      <w:pPr>
        <w:pStyle w:val="Heading2"/>
      </w:pPr>
      <w:r>
        <w:t>Estructura de carpetas</w:t>
      </w:r>
    </w:p>
    <w:p>
      <w:pPr>
        <w:spacing w:after="40"/>
      </w:pPr>
      <w:r>
        <w:rPr>
          <w:rFonts w:ascii="Consolas" w:hAnsi="Consolas"/>
          <w:color w:val="25304A"/>
          <w:sz w:val="17"/>
        </w:rPr>
        <w:t>frontend/src/pages/          Inicio, Información, Quiz, Resultados, Ayuda y Desarrolladores</w:t>
      </w:r>
    </w:p>
    <w:p>
      <w:pPr>
        <w:spacing w:after="40"/>
      </w:pPr>
      <w:r>
        <w:rPr>
          <w:rFonts w:ascii="Consolas" w:hAnsi="Consolas"/>
          <w:color w:val="25304A"/>
          <w:sz w:val="17"/>
        </w:rPr>
        <w:t>frontend/src/components/     Botón de salida y tarjeta de líneas de ayuda</w:t>
      </w:r>
    </w:p>
    <w:p>
      <w:pPr>
        <w:spacing w:after="40"/>
      </w:pPr>
      <w:r>
        <w:rPr>
          <w:rFonts w:ascii="Consolas" w:hAnsi="Consolas"/>
          <w:color w:val="25304A"/>
          <w:sz w:val="17"/>
        </w:rPr>
        <w:t>frontend/src/services/       Cliente fetch para la API</w:t>
      </w:r>
    </w:p>
    <w:p>
      <w:pPr>
        <w:spacing w:after="40"/>
      </w:pPr>
      <w:r>
        <w:rPr>
          <w:rFonts w:ascii="Consolas" w:hAnsi="Consolas"/>
          <w:color w:val="25304A"/>
          <w:sz w:val="17"/>
        </w:rPr>
        <w:t>frontend/src/data/            Contactos nacionales de respaldo y lista de departamentos</w:t>
      </w:r>
    </w:p>
    <w:p>
      <w:pPr>
        <w:spacing w:after="40"/>
      </w:pPr>
      <w:r>
        <w:rPr>
          <w:rFonts w:ascii="Consolas" w:hAnsi="Consolas"/>
          <w:color w:val="25304A"/>
          <w:sz w:val="17"/>
        </w:rPr>
        <w:t>frontend/src/styles/          Hoja de estilos responsiva</w:t>
      </w:r>
    </w:p>
    <w:p>
      <w:pPr>
        <w:spacing w:after="40"/>
      </w:pPr>
      <w:r>
        <w:rPr>
          <w:rFonts w:ascii="Consolas" w:hAnsi="Consolas"/>
          <w:color w:val="25304A"/>
          <w:sz w:val="17"/>
        </w:rPr>
        <w:t>backend/src/routes/           Rutas HTTP del quiz y del directorio</w:t>
      </w:r>
    </w:p>
    <w:p>
      <w:pPr>
        <w:spacing w:after="40"/>
      </w:pPr>
      <w:r>
        <w:rPr>
          <w:rFonts w:ascii="Consolas" w:hAnsi="Consolas"/>
          <w:color w:val="25304A"/>
          <w:sz w:val="17"/>
        </w:rPr>
        <w:t>backend/src/services/         Validación y evaluación de respuestas</w:t>
      </w:r>
    </w:p>
    <w:p>
      <w:pPr>
        <w:spacing w:after="40"/>
      </w:pPr>
      <w:r>
        <w:rPr>
          <w:rFonts w:ascii="Consolas" w:hAnsi="Consolas"/>
          <w:color w:val="25304A"/>
          <w:sz w:val="17"/>
        </w:rPr>
        <w:t>backend/src/repositories/     Consultas SQL separadas por dominio</w:t>
      </w:r>
    </w:p>
    <w:p>
      <w:pPr>
        <w:spacing w:after="40"/>
      </w:pPr>
      <w:r>
        <w:rPr>
          <w:rFonts w:ascii="Consolas" w:hAnsi="Consolas"/>
          <w:color w:val="25304A"/>
          <w:sz w:val="17"/>
        </w:rPr>
        <w:t>backend/src/db/               Pool de conexiones MySQL</w:t>
      </w:r>
    </w:p>
    <w:p>
      <w:pPr>
        <w:spacing w:after="40"/>
      </w:pPr>
      <w:r>
        <w:rPr>
          <w:rFonts w:ascii="Consolas" w:hAnsi="Consolas"/>
          <w:color w:val="25304A"/>
          <w:sz w:val="17"/>
        </w:rPr>
        <w:t>backend/seeds/                Esquema, datos iniciales y migraciones SQL</w:t>
      </w:r>
    </w:p>
    <w:p>
      <w:pPr>
        <w:pStyle w:val="Heading1"/>
      </w:pPr>
      <w:r>
        <w:t>Módulos funcionales</w:t>
      </w:r>
    </w:p>
    <w:p>
      <w:pPr>
        <w:pStyle w:val="Heading2"/>
      </w:pPr>
      <w:r>
        <w:t>Inicio</w:t>
      </w:r>
    </w:p>
    <w:p>
      <w:r>
        <w:t>Presenta el tema, la identidad de RedLila, el objetivo social y la frase “No estás sola. Tu voz importa y mereces vivir sin violencia.” Ofrece accesos directos al material educativo, al Violentómetro y al directorio. Incluye cobertura seleccionable para los nueve departamentos y muestra las líneas nacionales.</w:t>
      </w:r>
    </w:p>
    <w:p>
      <w:pPr>
        <w:pStyle w:val="Heading2"/>
      </w:pPr>
      <w:r>
        <w:t>Información</w:t>
      </w:r>
    </w:p>
    <w:p>
      <w:r>
        <w:t>Explica formas de violencia psicológica, física, sexual, económica y patrimonial, además de ejemplos de violencia digital. Incluye recomendaciones generales de seguridad, enlaces al texto de la Ley N.º 348 y a la ficha informativa de la Organización Mundial de la Salud, además de acceso al directorio. El texto aclara que la plataforma no brinda diagnóstico ni asesoría profesional.</w:t>
      </w:r>
    </w:p>
    <w:p>
      <w:pPr>
        <w:pStyle w:val="Heading2"/>
      </w:pPr>
      <w:r>
        <w:t>Quiz y Violentómetro</w:t>
      </w:r>
    </w:p>
    <w:p>
      <w:r>
        <w:t>La pantalla solicita la versión activa a la API. El servidor devuelve enunciados e identificadores y textos de opciones, pero oculta puntajes y banderas de riesgo. React guarda las elecciones en useState mientras la persona avanza y permite volver a preguntas anteriores. Las respuestas no se escriben en almacenamiento local ni en cookies.</w:t>
      </w:r>
    </w:p>
    <w:p>
      <w:pPr>
        <w:pStyle w:val="Heading2"/>
      </w:pPr>
      <w:r>
        <w:t>Resultados</w:t>
      </w:r>
    </w:p>
    <w:p>
      <w:r>
        <w:t>El resultado se muestra en la misma navegación mediante el estado temporal de React Router. Si se recarga o se cierra esa pantalla, la orientación deja de estar disponible y se puede iniciar otro quiz. Cada nivel incluye un texto explicativo, recomendaciones generales, advertencia de seguridad y acceso a llamadas nacionales.</w:t>
      </w:r>
    </w:p>
    <w:p>
      <w:pPr>
        <w:pStyle w:val="Heading2"/>
      </w:pPr>
      <w:r>
        <w:t>Ayuda y directorio</w:t>
      </w:r>
    </w:p>
    <w:p>
      <w:r>
        <w:t>El directorio consulta contactos activos desde MySQL, muestra siempre las líneas nacionales y permite filtrar contactos regionales por departamento. Las tarjetas diferencian llamadas telefónicas de conversaciones por WhatsApp. Los enlaces telefónicos usan tel: y los de WhatsApp abren el chat correspondiente. Si la API no responde, se muestran dos líneas nacionales de respaldo; los contactos regionales requieren conexión.</w:t>
      </w:r>
    </w:p>
    <w:p>
      <w:pPr>
        <w:pStyle w:val="Heading2"/>
      </w:pPr>
      <w:r>
        <w:t>Desarrolladores</w:t>
      </w:r>
    </w:p>
    <w:p>
      <w:r>
        <w:t>La página identifica a Diego Janco Paco como desarrollador individual y describe el propósito, la arquitectura, las funcionalidades y los créditos de consulta. Esta información corresponde a la sección D de la convocatoria.</w:t>
      </w:r>
    </w:p>
    <w:p>
      <w:pPr>
        <w:pStyle w:val="Heading2"/>
      </w:pPr>
      <w:r>
        <w:t>Salida rápida</w:t>
      </w:r>
    </w:p>
    <w:p>
      <w:r>
        <w:t>El botón flotante “Salir rápido” ejecuta window.location.replace hacia Google en el mismo gesto de la usuaria. Cambia inmediatamente la página actual. No borra entradas anteriores del historial, pestañas, registros del dispositivo ni el historial sincronizado del navegador, por lo que el sitio advierte este límite.</w:t>
      </w:r>
    </w:p>
    <w:p>
      <w:pPr>
        <w:pStyle w:val="Heading1"/>
      </w:pPr>
      <w:r>
        <w:t>Flujo principal del quiz</w:t>
      </w:r>
    </w:p>
    <w:tbl>
      <w:tblPr>
        <w:tblW w:type="auto" w:w="0"/>
        <w:jc w:val="center"/>
        <w:tblLayout w:type="fixed"/>
        <w:tblLook w:firstColumn="1" w:firstRow="1" w:lastColumn="0" w:lastRow="0" w:noHBand="0" w:noVBand="1" w:val="04A0"/>
        <w:tblBorders>
          <w:top w:val="single" w:sz="5" w:space="0" w:color="D9DEE8"/>
          <w:left w:val="single" w:sz="5" w:space="0" w:color="D9DEE8"/>
          <w:bottom w:val="single" w:sz="5" w:space="0" w:color="D9DEE8"/>
          <w:right w:val="single" w:sz="5" w:space="0" w:color="D9DEE8"/>
          <w:insideH w:val="single" w:sz="5" w:space="0" w:color="D9DEE8"/>
          <w:insideV w:val="single" w:sz="5" w:space="0" w:color="D9DEE8"/>
        </w:tblBorders>
      </w:tblPr>
      <w:tblGrid>
        <w:gridCol w:w="3293"/>
        <w:gridCol w:w="3293"/>
        <w:gridCol w:w="3293"/>
      </w:tblGrid>
      <w:tr>
        <w:trPr>
          <w:tblHeader w:val="true"/>
          <w:cantSplit/>
        </w:trPr>
        <w:tc>
          <w:tcPr>
            <w:tcW w:type="dxa" w:w="1512"/>
            <w:vAlign w:val="center"/>
            <w:shd w:fill="25304A"/>
            <w:tcMar>
              <w:top w:w="110" w:type="dxa"/>
              <w:start w:w="115" w:type="dxa"/>
              <w:bottom w:w="110" w:type="dxa"/>
              <w:end w:w="115" w:type="dxa"/>
            </w:tcMar>
          </w:tcPr>
          <w:p>
            <w:pPr>
              <w:keepLines/>
              <w:spacing w:after="0"/>
            </w:pPr>
            <w:r>
              <w:rPr>
                <w:rFonts w:ascii="Aptos" w:hAnsi="Aptos"/>
                <w:b/>
                <w:color w:val="FFFFFF"/>
                <w:sz w:val="17"/>
              </w:rPr>
              <w:t>Paso</w:t>
            </w:r>
          </w:p>
        </w:tc>
        <w:tc>
          <w:tcPr>
            <w:tcW w:type="dxa" w:w="4824"/>
            <w:vAlign w:val="center"/>
            <w:shd w:fill="25304A"/>
            <w:tcMar>
              <w:top w:w="110" w:type="dxa"/>
              <w:start w:w="115" w:type="dxa"/>
              <w:bottom w:w="110" w:type="dxa"/>
              <w:end w:w="115" w:type="dxa"/>
            </w:tcMar>
          </w:tcPr>
          <w:p>
            <w:pPr>
              <w:keepLines/>
              <w:spacing w:after="0"/>
            </w:pPr>
            <w:r>
              <w:rPr>
                <w:rFonts w:ascii="Aptos" w:hAnsi="Aptos"/>
                <w:b/>
                <w:color w:val="FFFFFF"/>
                <w:sz w:val="17"/>
              </w:rPr>
              <w:t>Acción de la aplicación</w:t>
            </w:r>
          </w:p>
        </w:tc>
        <w:tc>
          <w:tcPr>
            <w:tcW w:type="dxa" w:w="3485"/>
            <w:vAlign w:val="center"/>
            <w:shd w:fill="25304A"/>
            <w:tcMar>
              <w:top w:w="110" w:type="dxa"/>
              <w:start w:w="115" w:type="dxa"/>
              <w:bottom w:w="110" w:type="dxa"/>
              <w:end w:w="115" w:type="dxa"/>
            </w:tcMar>
          </w:tcPr>
          <w:p>
            <w:pPr>
              <w:keepLines/>
              <w:spacing w:after="0"/>
            </w:pPr>
            <w:r>
              <w:rPr>
                <w:rFonts w:ascii="Aptos" w:hAnsi="Aptos"/>
                <w:b/>
                <w:color w:val="FFFFFF"/>
                <w:sz w:val="17"/>
              </w:rPr>
              <w:t>Resultado</w:t>
            </w:r>
          </w:p>
        </w:tc>
      </w:tr>
      <w:tr>
        <w:trPr>
          <w:cantSplit/>
        </w:trPr>
        <w:tc>
          <w:tcPr>
            <w:tcW w:type="dxa" w:w="1512"/>
            <w:vAlign w:val="center"/>
            <w:tcMar>
              <w:top w:w="110" w:type="dxa"/>
              <w:start w:w="115" w:type="dxa"/>
              <w:bottom w:w="110" w:type="dxa"/>
              <w:end w:w="115" w:type="dxa"/>
            </w:tcMar>
          </w:tcPr>
          <w:p>
            <w:pPr>
              <w:keepLines/>
              <w:spacing w:after="0" w:line="252" w:lineRule="auto"/>
            </w:pPr>
            <w:r>
              <w:rPr>
                <w:rFonts w:ascii="Aptos" w:hAnsi="Aptos"/>
                <w:color w:val="202536"/>
                <w:sz w:val="16"/>
              </w:rPr>
              <w:t>1. Entrada</w:t>
            </w:r>
          </w:p>
        </w:tc>
        <w:tc>
          <w:tcPr>
            <w:tcW w:type="dxa" w:w="4824"/>
            <w:vAlign w:val="center"/>
            <w:tcMar>
              <w:top w:w="110" w:type="dxa"/>
              <w:start w:w="115" w:type="dxa"/>
              <w:bottom w:w="110" w:type="dxa"/>
              <w:end w:w="115" w:type="dxa"/>
            </w:tcMar>
          </w:tcPr>
          <w:p>
            <w:pPr>
              <w:keepLines/>
              <w:spacing w:after="0" w:line="252" w:lineRule="auto"/>
            </w:pPr>
            <w:r>
              <w:rPr>
                <w:rFonts w:ascii="Aptos" w:hAnsi="Aptos"/>
                <w:color w:val="202536"/>
                <w:sz w:val="16"/>
              </w:rPr>
              <w:t>La usuaria inicia el quiz desde Inicio o Información.</w:t>
            </w:r>
          </w:p>
        </w:tc>
        <w:tc>
          <w:tcPr>
            <w:tcW w:type="dxa" w:w="3485"/>
            <w:vAlign w:val="center"/>
            <w:tcMar>
              <w:top w:w="110" w:type="dxa"/>
              <w:start w:w="115" w:type="dxa"/>
              <w:bottom w:w="110" w:type="dxa"/>
              <w:end w:w="115" w:type="dxa"/>
            </w:tcMar>
          </w:tcPr>
          <w:p>
            <w:pPr>
              <w:keepLines/>
              <w:spacing w:after="0" w:line="252" w:lineRule="auto"/>
            </w:pPr>
            <w:r>
              <w:rPr>
                <w:rFonts w:ascii="Aptos" w:hAnsi="Aptos"/>
                <w:color w:val="202536"/>
                <w:sz w:val="16"/>
              </w:rPr>
              <w:t>React carga el módulo sin recargar todo el sitio.</w:t>
            </w:r>
          </w:p>
        </w:tc>
      </w:tr>
      <w:tr>
        <w:trPr>
          <w:cantSplit/>
        </w:trPr>
        <w:tc>
          <w:tcPr>
            <w:tcW w:type="dxa" w:w="1512"/>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2. Preguntas</w:t>
            </w:r>
          </w:p>
        </w:tc>
        <w:tc>
          <w:tcPr>
            <w:tcW w:type="dxa" w:w="482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GET /api/quiz/preguntas consulta versión, preguntas y opciones en MySQL.</w:t>
            </w:r>
          </w:p>
        </w:tc>
        <w:tc>
          <w:tcPr>
            <w:tcW w:type="dxa" w:w="3485"/>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El cliente recibe textos e IDs; no recibe puntajes ni flags.</w:t>
            </w:r>
          </w:p>
        </w:tc>
      </w:tr>
      <w:tr>
        <w:trPr>
          <w:cantSplit/>
        </w:trPr>
        <w:tc>
          <w:tcPr>
            <w:tcW w:type="dxa" w:w="1512"/>
            <w:vAlign w:val="center"/>
            <w:tcMar>
              <w:top w:w="110" w:type="dxa"/>
              <w:start w:w="115" w:type="dxa"/>
              <w:bottom w:w="110" w:type="dxa"/>
              <w:end w:w="115" w:type="dxa"/>
            </w:tcMar>
          </w:tcPr>
          <w:p>
            <w:pPr>
              <w:keepLines/>
              <w:spacing w:after="0" w:line="252" w:lineRule="auto"/>
            </w:pPr>
            <w:r>
              <w:rPr>
                <w:rFonts w:ascii="Aptos" w:hAnsi="Aptos"/>
                <w:color w:val="202536"/>
                <w:sz w:val="16"/>
              </w:rPr>
              <w:t>3. Respuestas</w:t>
            </w:r>
          </w:p>
        </w:tc>
        <w:tc>
          <w:tcPr>
            <w:tcW w:type="dxa" w:w="4824"/>
            <w:vAlign w:val="center"/>
            <w:tcMar>
              <w:top w:w="110" w:type="dxa"/>
              <w:start w:w="115" w:type="dxa"/>
              <w:bottom w:w="110" w:type="dxa"/>
              <w:end w:w="115" w:type="dxa"/>
            </w:tcMar>
          </w:tcPr>
          <w:p>
            <w:pPr>
              <w:keepLines/>
              <w:spacing w:after="0" w:line="252" w:lineRule="auto"/>
            </w:pPr>
            <w:r>
              <w:rPr>
                <w:rFonts w:ascii="Aptos" w:hAnsi="Aptos"/>
                <w:color w:val="202536"/>
                <w:sz w:val="16"/>
              </w:rPr>
              <w:t>La usuaria selecciona una alternativa por pregunta. React conserva IDs en memoria.</w:t>
            </w:r>
          </w:p>
        </w:tc>
        <w:tc>
          <w:tcPr>
            <w:tcW w:type="dxa" w:w="3485"/>
            <w:vAlign w:val="center"/>
            <w:tcMar>
              <w:top w:w="110" w:type="dxa"/>
              <w:start w:w="115" w:type="dxa"/>
              <w:bottom w:w="110" w:type="dxa"/>
              <w:end w:w="115" w:type="dxa"/>
            </w:tcMar>
          </w:tcPr>
          <w:p>
            <w:pPr>
              <w:keepLines/>
              <w:spacing w:after="0" w:line="252" w:lineRule="auto"/>
            </w:pPr>
            <w:r>
              <w:rPr>
                <w:rFonts w:ascii="Aptos" w:hAnsi="Aptos"/>
                <w:color w:val="202536"/>
                <w:sz w:val="16"/>
              </w:rPr>
              <w:t>Puede avanzar y retroceder mientras completa el cuestionario.</w:t>
            </w:r>
          </w:p>
        </w:tc>
      </w:tr>
      <w:tr>
        <w:trPr>
          <w:cantSplit/>
        </w:trPr>
        <w:tc>
          <w:tcPr>
            <w:tcW w:type="dxa" w:w="1512"/>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4. Envío</w:t>
            </w:r>
          </w:p>
        </w:tc>
        <w:tc>
          <w:tcPr>
            <w:tcW w:type="dxa" w:w="482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POST /api/quiz/resultados envía versión e IDs de opciones como JSON.</w:t>
            </w:r>
          </w:p>
        </w:tc>
        <w:tc>
          <w:tcPr>
            <w:tcW w:type="dxa" w:w="3485"/>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La API valida tipos, número de respuestas, duplicados y pertenencia a la versión.</w:t>
            </w:r>
          </w:p>
        </w:tc>
      </w:tr>
      <w:tr>
        <w:trPr>
          <w:cantSplit/>
        </w:trPr>
        <w:tc>
          <w:tcPr>
            <w:tcW w:type="dxa" w:w="1512"/>
            <w:vAlign w:val="center"/>
            <w:tcMar>
              <w:top w:w="110" w:type="dxa"/>
              <w:start w:w="115" w:type="dxa"/>
              <w:bottom w:w="110" w:type="dxa"/>
              <w:end w:w="115" w:type="dxa"/>
            </w:tcMar>
          </w:tcPr>
          <w:p>
            <w:pPr>
              <w:keepLines/>
              <w:spacing w:after="0" w:line="252" w:lineRule="auto"/>
            </w:pPr>
            <w:r>
              <w:rPr>
                <w:rFonts w:ascii="Aptos" w:hAnsi="Aptos"/>
                <w:color w:val="202536"/>
                <w:sz w:val="16"/>
              </w:rPr>
              <w:t>5. Evaluación</w:t>
            </w:r>
          </w:p>
        </w:tc>
        <w:tc>
          <w:tcPr>
            <w:tcW w:type="dxa" w:w="4824"/>
            <w:vAlign w:val="center"/>
            <w:tcMar>
              <w:top w:w="110" w:type="dxa"/>
              <w:start w:w="115" w:type="dxa"/>
              <w:bottom w:w="110" w:type="dxa"/>
              <w:end w:w="115" w:type="dxa"/>
            </w:tcMar>
          </w:tcPr>
          <w:p>
            <w:pPr>
              <w:keepLines/>
              <w:spacing w:after="0" w:line="252" w:lineRule="auto"/>
            </w:pPr>
            <w:r>
              <w:rPr>
                <w:rFonts w:ascii="Aptos" w:hAnsi="Aptos"/>
                <w:color w:val="202536"/>
                <w:sz w:val="16"/>
              </w:rPr>
              <w:t>El servicio suma puntajes y comprueba alertas críticas.</w:t>
            </w:r>
          </w:p>
        </w:tc>
        <w:tc>
          <w:tcPr>
            <w:tcW w:type="dxa" w:w="3485"/>
            <w:vAlign w:val="center"/>
            <w:tcMar>
              <w:top w:w="110" w:type="dxa"/>
              <w:start w:w="115" w:type="dxa"/>
              <w:bottom w:w="110" w:type="dxa"/>
              <w:end w:w="115" w:type="dxa"/>
            </w:tcMar>
          </w:tcPr>
          <w:p>
            <w:pPr>
              <w:keepLines/>
              <w:spacing w:after="0" w:line="252" w:lineRule="auto"/>
            </w:pPr>
            <w:r>
              <w:rPr>
                <w:rFonts w:ascii="Aptos" w:hAnsi="Aptos"/>
                <w:color w:val="202536"/>
                <w:sz w:val="16"/>
              </w:rPr>
              <w:t>Una señal crítica fuerza nivel rojo aunque la suma sea baja.</w:t>
            </w:r>
          </w:p>
        </w:tc>
      </w:tr>
      <w:tr>
        <w:trPr>
          <w:cantSplit/>
        </w:trPr>
        <w:tc>
          <w:tcPr>
            <w:tcW w:type="dxa" w:w="1512"/>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6. Persistencia</w:t>
            </w:r>
          </w:p>
        </w:tc>
        <w:tc>
          <w:tcPr>
            <w:tcW w:type="dxa" w:w="482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Una transacción guarda el resultado y suma un contador para cada opción elegida.</w:t>
            </w:r>
          </w:p>
        </w:tc>
        <w:tc>
          <w:tcPr>
            <w:tcW w:type="dxa" w:w="3485"/>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Se conserva nivel y puntaje agregados; no se conserva la combinación de respuestas.</w:t>
            </w:r>
          </w:p>
        </w:tc>
      </w:tr>
      <w:tr>
        <w:trPr>
          <w:cantSplit/>
        </w:trPr>
        <w:tc>
          <w:tcPr>
            <w:tcW w:type="dxa" w:w="1512"/>
            <w:vAlign w:val="center"/>
            <w:tcMar>
              <w:top w:w="110" w:type="dxa"/>
              <w:start w:w="115" w:type="dxa"/>
              <w:bottom w:w="110" w:type="dxa"/>
              <w:end w:w="115" w:type="dxa"/>
            </w:tcMar>
          </w:tcPr>
          <w:p>
            <w:pPr>
              <w:keepLines/>
              <w:spacing w:after="0" w:line="252" w:lineRule="auto"/>
            </w:pPr>
            <w:r>
              <w:rPr>
                <w:rFonts w:ascii="Aptos" w:hAnsi="Aptos"/>
                <w:color w:val="202536"/>
                <w:sz w:val="16"/>
              </w:rPr>
              <w:t>7. Orientación</w:t>
            </w:r>
          </w:p>
        </w:tc>
        <w:tc>
          <w:tcPr>
            <w:tcW w:type="dxa" w:w="4824"/>
            <w:vAlign w:val="center"/>
            <w:tcMar>
              <w:top w:w="110" w:type="dxa"/>
              <w:start w:w="115" w:type="dxa"/>
              <w:bottom w:w="110" w:type="dxa"/>
              <w:end w:w="115" w:type="dxa"/>
            </w:tcMar>
          </w:tcPr>
          <w:p>
            <w:pPr>
              <w:keepLines/>
              <w:spacing w:after="0" w:line="252" w:lineRule="auto"/>
            </w:pPr>
            <w:r>
              <w:rPr>
                <w:rFonts w:ascii="Aptos" w:hAnsi="Aptos"/>
                <w:color w:val="202536"/>
                <w:sz w:val="16"/>
              </w:rPr>
              <w:t>El servidor responde con nivel, puntaje y alerta crítica.</w:t>
            </w:r>
          </w:p>
        </w:tc>
        <w:tc>
          <w:tcPr>
            <w:tcW w:type="dxa" w:w="3485"/>
            <w:vAlign w:val="center"/>
            <w:tcMar>
              <w:top w:w="110" w:type="dxa"/>
              <w:start w:w="115" w:type="dxa"/>
              <w:bottom w:w="110" w:type="dxa"/>
              <w:end w:w="115" w:type="dxa"/>
            </w:tcMar>
          </w:tcPr>
          <w:p>
            <w:pPr>
              <w:keepLines/>
              <w:spacing w:after="0" w:line="252" w:lineRule="auto"/>
            </w:pPr>
            <w:r>
              <w:rPr>
                <w:rFonts w:ascii="Aptos" w:hAnsi="Aptos"/>
                <w:color w:val="202536"/>
                <w:sz w:val="16"/>
              </w:rPr>
              <w:t>La interfaz muestra orientación y enlaces a recursos.</w:t>
            </w:r>
          </w:p>
        </w:tc>
      </w:tr>
      <w:tr>
        <w:trPr>
          <w:cantSplit/>
        </w:trPr>
        <w:tc>
          <w:tcPr>
            <w:tcW w:type="dxa" w:w="1512"/>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8. Contacto</w:t>
            </w:r>
          </w:p>
        </w:tc>
        <w:tc>
          <w:tcPr>
            <w:tcW w:type="dxa" w:w="482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La usuaria elige un teléfono o un enlace WhatsApp.</w:t>
            </w:r>
          </w:p>
        </w:tc>
        <w:tc>
          <w:tcPr>
            <w:tcW w:type="dxa" w:w="3485"/>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El navegador inicia el canal únicamente después de pulsar el contacto.</w:t>
            </w:r>
          </w:p>
        </w:tc>
      </w:tr>
    </w:tbl>
    <w:p>
      <w:pPr>
        <w:spacing w:after="20"/>
      </w:pPr>
    </w:p>
    <w:p>
      <w:pPr>
        <w:pStyle w:val="Heading2"/>
      </w:pPr>
      <w:r>
        <w:t>Cálculo de orientación</w:t>
      </w:r>
    </w:p>
    <w:p>
      <w:r>
        <w:t>La versión inicial contiene siete preguntas con opciones puntuadas de 0 a 3. El máximo es 21 puntos. Los límites implementados son: verde para 0 a 2, amarillo para 3 a 6, naranja para 7 a 11 y rojo desde 12 puntos. Además, una opción marcada como crítica produce nivel rojo independientemente del puntaje total.</w:t>
      </w:r>
    </w:p>
    <w:p>
      <w:r>
        <w:t>Estos niveles son bandas educativas definidas para la versión académica del sistema. No han sido validados clínicamente ni predicen lo que ocurrirá. La clasificación sirve para mostrar mensajes de orientación y nunca debe presentarse como evaluación profesional de riesgo.</w:t>
      </w:r>
    </w:p>
    <w:p>
      <w:pPr>
        <w:pStyle w:val="Heading1"/>
      </w:pPr>
      <w:r>
        <w:t>Módulos del servidor y API</w:t>
      </w:r>
    </w:p>
    <w:tbl>
      <w:tblPr>
        <w:tblW w:type="auto" w:w="0"/>
        <w:jc w:val="center"/>
        <w:tblLayout w:type="fixed"/>
        <w:tblLook w:firstColumn="1" w:firstRow="1" w:lastColumn="0" w:lastRow="0" w:noHBand="0" w:noVBand="1" w:val="04A0"/>
        <w:tblBorders>
          <w:top w:val="single" w:sz="5" w:space="0" w:color="D9DEE8"/>
          <w:left w:val="single" w:sz="5" w:space="0" w:color="D9DEE8"/>
          <w:bottom w:val="single" w:sz="5" w:space="0" w:color="D9DEE8"/>
          <w:right w:val="single" w:sz="5" w:space="0" w:color="D9DEE8"/>
          <w:insideH w:val="single" w:sz="5" w:space="0" w:color="D9DEE8"/>
          <w:insideV w:val="single" w:sz="5" w:space="0" w:color="D9DEE8"/>
        </w:tblBorders>
      </w:tblPr>
      <w:tblGrid>
        <w:gridCol w:w="3293"/>
        <w:gridCol w:w="3293"/>
        <w:gridCol w:w="3293"/>
      </w:tblGrid>
      <w:tr>
        <w:trPr>
          <w:tblHeader w:val="true"/>
          <w:cantSplit/>
        </w:trPr>
        <w:tc>
          <w:tcPr>
            <w:tcW w:type="dxa" w:w="2664"/>
            <w:vAlign w:val="center"/>
            <w:shd w:fill="25304A"/>
            <w:tcMar>
              <w:top w:w="110" w:type="dxa"/>
              <w:start w:w="115" w:type="dxa"/>
              <w:bottom w:w="110" w:type="dxa"/>
              <w:end w:w="115" w:type="dxa"/>
            </w:tcMar>
          </w:tcPr>
          <w:p>
            <w:pPr>
              <w:keepLines/>
              <w:spacing w:after="0"/>
            </w:pPr>
            <w:r>
              <w:rPr>
                <w:rFonts w:ascii="Aptos" w:hAnsi="Aptos"/>
                <w:b/>
                <w:color w:val="FFFFFF"/>
                <w:sz w:val="17"/>
              </w:rPr>
              <w:t>Método y ruta</w:t>
            </w:r>
          </w:p>
        </w:tc>
        <w:tc>
          <w:tcPr>
            <w:tcW w:type="dxa" w:w="2333"/>
            <w:vAlign w:val="center"/>
            <w:shd w:fill="25304A"/>
            <w:tcMar>
              <w:top w:w="110" w:type="dxa"/>
              <w:start w:w="115" w:type="dxa"/>
              <w:bottom w:w="110" w:type="dxa"/>
              <w:end w:w="115" w:type="dxa"/>
            </w:tcMar>
          </w:tcPr>
          <w:p>
            <w:pPr>
              <w:keepLines/>
              <w:spacing w:after="0"/>
            </w:pPr>
            <w:r>
              <w:rPr>
                <w:rFonts w:ascii="Aptos" w:hAnsi="Aptos"/>
                <w:b/>
                <w:color w:val="FFFFFF"/>
                <w:sz w:val="17"/>
              </w:rPr>
              <w:t>Uso</w:t>
            </w:r>
          </w:p>
        </w:tc>
        <w:tc>
          <w:tcPr>
            <w:tcW w:type="dxa" w:w="4824"/>
            <w:vAlign w:val="center"/>
            <w:shd w:fill="25304A"/>
            <w:tcMar>
              <w:top w:w="110" w:type="dxa"/>
              <w:start w:w="115" w:type="dxa"/>
              <w:bottom w:w="110" w:type="dxa"/>
              <w:end w:w="115" w:type="dxa"/>
            </w:tcMar>
          </w:tcPr>
          <w:p>
            <w:pPr>
              <w:keepLines/>
              <w:spacing w:after="0"/>
            </w:pPr>
            <w:r>
              <w:rPr>
                <w:rFonts w:ascii="Aptos" w:hAnsi="Aptos"/>
                <w:b/>
                <w:color w:val="FFFFFF"/>
                <w:sz w:val="17"/>
              </w:rPr>
              <w:t>Acceso a datos y respuesta</w:t>
            </w:r>
          </w:p>
        </w:tc>
      </w:tr>
      <w:tr>
        <w:trPr>
          <w:cantSplit/>
        </w:trPr>
        <w:tc>
          <w:tcPr>
            <w:tcW w:type="dxa" w:w="2664"/>
            <w:vAlign w:val="center"/>
            <w:tcMar>
              <w:top w:w="110" w:type="dxa"/>
              <w:start w:w="115" w:type="dxa"/>
              <w:bottom w:w="110" w:type="dxa"/>
              <w:end w:w="115" w:type="dxa"/>
            </w:tcMar>
          </w:tcPr>
          <w:p>
            <w:pPr>
              <w:keepLines/>
              <w:spacing w:after="0" w:line="252" w:lineRule="auto"/>
            </w:pPr>
            <w:r>
              <w:rPr>
                <w:rFonts w:ascii="Aptos" w:hAnsi="Aptos"/>
                <w:color w:val="202536"/>
                <w:sz w:val="16"/>
              </w:rPr>
              <w:t>GET /api/salud</w:t>
            </w:r>
          </w:p>
        </w:tc>
        <w:tc>
          <w:tcPr>
            <w:tcW w:type="dxa" w:w="2333"/>
            <w:vAlign w:val="center"/>
            <w:tcMar>
              <w:top w:w="110" w:type="dxa"/>
              <w:start w:w="115" w:type="dxa"/>
              <w:bottom w:w="110" w:type="dxa"/>
              <w:end w:w="115" w:type="dxa"/>
            </w:tcMar>
          </w:tcPr>
          <w:p>
            <w:pPr>
              <w:keepLines/>
              <w:spacing w:after="0" w:line="252" w:lineRule="auto"/>
            </w:pPr>
            <w:r>
              <w:rPr>
                <w:rFonts w:ascii="Aptos" w:hAnsi="Aptos"/>
                <w:color w:val="202536"/>
                <w:sz w:val="16"/>
              </w:rPr>
              <w:t>Comprobar disponibilidad básica de la API.</w:t>
            </w:r>
          </w:p>
        </w:tc>
        <w:tc>
          <w:tcPr>
            <w:tcW w:type="dxa" w:w="4824"/>
            <w:vAlign w:val="center"/>
            <w:tcMar>
              <w:top w:w="110" w:type="dxa"/>
              <w:start w:w="115" w:type="dxa"/>
              <w:bottom w:w="110" w:type="dxa"/>
              <w:end w:w="115" w:type="dxa"/>
            </w:tcMar>
          </w:tcPr>
          <w:p>
            <w:pPr>
              <w:keepLines/>
              <w:spacing w:after="0" w:line="252" w:lineRule="auto"/>
            </w:pPr>
            <w:r>
              <w:rPr>
                <w:rFonts w:ascii="Aptos" w:hAnsi="Aptos"/>
                <w:color w:val="202536"/>
                <w:sz w:val="16"/>
              </w:rPr>
              <w:t>Devuelve estado ok; no comprueba por sí mismo que MySQL acepte consultas.</w:t>
            </w:r>
          </w:p>
        </w:tc>
      </w:tr>
      <w:tr>
        <w:trPr>
          <w:cantSplit/>
        </w:trPr>
        <w:tc>
          <w:tcPr>
            <w:tcW w:type="dxa" w:w="266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GET /api/quiz/preguntas</w:t>
            </w:r>
          </w:p>
        </w:tc>
        <w:tc>
          <w:tcPr>
            <w:tcW w:type="dxa" w:w="2333"/>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Cargar quiz publicado.</w:t>
            </w:r>
          </w:p>
        </w:tc>
        <w:tc>
          <w:tcPr>
            <w:tcW w:type="dxa" w:w="482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Consulta versión, preguntas y opciones; oculta puntaje y alerta crítica; responde sin caché.</w:t>
            </w:r>
          </w:p>
        </w:tc>
      </w:tr>
      <w:tr>
        <w:trPr>
          <w:cantSplit/>
        </w:trPr>
        <w:tc>
          <w:tcPr>
            <w:tcW w:type="dxa" w:w="2664"/>
            <w:vAlign w:val="center"/>
            <w:tcMar>
              <w:top w:w="110" w:type="dxa"/>
              <w:start w:w="115" w:type="dxa"/>
              <w:bottom w:w="110" w:type="dxa"/>
              <w:end w:w="115" w:type="dxa"/>
            </w:tcMar>
          </w:tcPr>
          <w:p>
            <w:pPr>
              <w:keepLines/>
              <w:spacing w:after="0" w:line="252" w:lineRule="auto"/>
            </w:pPr>
            <w:r>
              <w:rPr>
                <w:rFonts w:ascii="Aptos" w:hAnsi="Aptos"/>
                <w:color w:val="202536"/>
                <w:sz w:val="16"/>
              </w:rPr>
              <w:t>POST /api/quiz/resultados</w:t>
            </w:r>
          </w:p>
        </w:tc>
        <w:tc>
          <w:tcPr>
            <w:tcW w:type="dxa" w:w="2333"/>
            <w:vAlign w:val="center"/>
            <w:tcMar>
              <w:top w:w="110" w:type="dxa"/>
              <w:start w:w="115" w:type="dxa"/>
              <w:bottom w:w="110" w:type="dxa"/>
              <w:end w:w="115" w:type="dxa"/>
            </w:tcMar>
          </w:tcPr>
          <w:p>
            <w:pPr>
              <w:keepLines/>
              <w:spacing w:after="0" w:line="252" w:lineRule="auto"/>
            </w:pPr>
            <w:r>
              <w:rPr>
                <w:rFonts w:ascii="Aptos" w:hAnsi="Aptos"/>
                <w:color w:val="202536"/>
                <w:sz w:val="16"/>
              </w:rPr>
              <w:t>Evaluar y registrar un intento.</w:t>
            </w:r>
          </w:p>
        </w:tc>
        <w:tc>
          <w:tcPr>
            <w:tcW w:type="dxa" w:w="4824"/>
            <w:vAlign w:val="center"/>
            <w:tcMar>
              <w:top w:w="110" w:type="dxa"/>
              <w:start w:w="115" w:type="dxa"/>
              <w:bottom w:w="110" w:type="dxa"/>
              <w:end w:w="115" w:type="dxa"/>
            </w:tcMar>
          </w:tcPr>
          <w:p>
            <w:pPr>
              <w:keepLines/>
              <w:spacing w:after="0" w:line="252" w:lineRule="auto"/>
            </w:pPr>
            <w:r>
              <w:rPr>
                <w:rFonts w:ascii="Aptos" w:hAnsi="Aptos"/>
                <w:color w:val="202536"/>
                <w:sz w:val="16"/>
              </w:rPr>
              <w:t>Valida IDs contra MySQL, calcula puntaje y nivel, guarda resultado y actualiza estadísticas en una transacción.</w:t>
            </w:r>
          </w:p>
        </w:tc>
      </w:tr>
      <w:tr>
        <w:trPr>
          <w:cantSplit/>
        </w:trPr>
        <w:tc>
          <w:tcPr>
            <w:tcW w:type="dxa" w:w="266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GET /api/ayuda</w:t>
            </w:r>
          </w:p>
        </w:tc>
        <w:tc>
          <w:tcPr>
            <w:tcW w:type="dxa" w:w="2333"/>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Cargar directorio.</w:t>
            </w:r>
          </w:p>
        </w:tc>
        <w:tc>
          <w:tcPr>
            <w:tcW w:type="dxa" w:w="482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Devuelve contactos activos ordenados; permite caché pública de cinco minutos.</w:t>
            </w:r>
          </w:p>
        </w:tc>
      </w:tr>
    </w:tbl>
    <w:p>
      <w:pPr>
        <w:spacing w:after="20"/>
      </w:pPr>
    </w:p>
    <w:p>
      <w:r>
        <w:t>Express limita cuerpos JSON a 10 KB, desactiva la cabecera x-powered-by, configura CORS para el origen definido en CORS_ORIGIN y responde con errores genéricos ante fallos internos. Las consultas de repositorio usan parámetros para los datos variables.</w:t>
      </w:r>
    </w:p>
    <w:p>
      <w:pPr>
        <w:pStyle w:val="Heading1"/>
      </w:pPr>
      <w:r>
        <w:t>Modelo de datos</w:t>
      </w:r>
    </w:p>
    <w:tbl>
      <w:tblPr>
        <w:tblW w:type="auto" w:w="0"/>
        <w:jc w:val="center"/>
        <w:tblLayout w:type="fixed"/>
        <w:tblLook w:firstColumn="1" w:firstRow="1" w:lastColumn="0" w:lastRow="0" w:noHBand="0" w:noVBand="1" w:val="04A0"/>
        <w:tblBorders>
          <w:top w:val="single" w:sz="5" w:space="0" w:color="D9DEE8"/>
          <w:left w:val="single" w:sz="5" w:space="0" w:color="D9DEE8"/>
          <w:bottom w:val="single" w:sz="5" w:space="0" w:color="D9DEE8"/>
          <w:right w:val="single" w:sz="5" w:space="0" w:color="D9DEE8"/>
          <w:insideH w:val="single" w:sz="5" w:space="0" w:color="D9DEE8"/>
          <w:insideV w:val="single" w:sz="5" w:space="0" w:color="D9DEE8"/>
        </w:tblBorders>
      </w:tblPr>
      <w:tblGrid>
        <w:gridCol w:w="3293"/>
        <w:gridCol w:w="3293"/>
        <w:gridCol w:w="3293"/>
      </w:tblGrid>
      <w:tr>
        <w:trPr>
          <w:tblHeader w:val="true"/>
          <w:cantSplit/>
        </w:trPr>
        <w:tc>
          <w:tcPr>
            <w:tcW w:type="dxa" w:w="2131"/>
            <w:vAlign w:val="center"/>
            <w:shd w:fill="25304A"/>
            <w:tcMar>
              <w:top w:w="110" w:type="dxa"/>
              <w:start w:w="115" w:type="dxa"/>
              <w:bottom w:w="110" w:type="dxa"/>
              <w:end w:w="115" w:type="dxa"/>
            </w:tcMar>
          </w:tcPr>
          <w:p>
            <w:pPr>
              <w:keepLines/>
              <w:spacing w:after="0"/>
            </w:pPr>
            <w:r>
              <w:rPr>
                <w:rFonts w:ascii="Aptos" w:hAnsi="Aptos"/>
                <w:b/>
                <w:color w:val="FFFFFF"/>
                <w:sz w:val="17"/>
              </w:rPr>
              <w:t>Tabla</w:t>
            </w:r>
          </w:p>
        </w:tc>
        <w:tc>
          <w:tcPr>
            <w:tcW w:type="dxa" w:w="3629"/>
            <w:vAlign w:val="center"/>
            <w:shd w:fill="25304A"/>
            <w:tcMar>
              <w:top w:w="110" w:type="dxa"/>
              <w:start w:w="115" w:type="dxa"/>
              <w:bottom w:w="110" w:type="dxa"/>
              <w:end w:w="115" w:type="dxa"/>
            </w:tcMar>
          </w:tcPr>
          <w:p>
            <w:pPr>
              <w:keepLines/>
              <w:spacing w:after="0"/>
            </w:pPr>
            <w:r>
              <w:rPr>
                <w:rFonts w:ascii="Aptos" w:hAnsi="Aptos"/>
                <w:b/>
                <w:color w:val="FFFFFF"/>
                <w:sz w:val="17"/>
              </w:rPr>
              <w:t>Campos principales</w:t>
            </w:r>
          </w:p>
        </w:tc>
        <w:tc>
          <w:tcPr>
            <w:tcW w:type="dxa" w:w="4061"/>
            <w:vAlign w:val="center"/>
            <w:shd w:fill="25304A"/>
            <w:tcMar>
              <w:top w:w="110" w:type="dxa"/>
              <w:start w:w="115" w:type="dxa"/>
              <w:bottom w:w="110" w:type="dxa"/>
              <w:end w:w="115" w:type="dxa"/>
            </w:tcMar>
          </w:tcPr>
          <w:p>
            <w:pPr>
              <w:keepLines/>
              <w:spacing w:after="0"/>
            </w:pPr>
            <w:r>
              <w:rPr>
                <w:rFonts w:ascii="Aptos" w:hAnsi="Aptos"/>
                <w:b/>
                <w:color w:val="FFFFFF"/>
                <w:sz w:val="17"/>
              </w:rPr>
              <w:t>Relación y propósito</w:t>
            </w:r>
          </w:p>
        </w:tc>
      </w:tr>
      <w:tr>
        <w:trPr>
          <w:cantSplit/>
        </w:trPr>
        <w:tc>
          <w:tcPr>
            <w:tcW w:type="dxa" w:w="2131"/>
            <w:vAlign w:val="center"/>
            <w:tcMar>
              <w:top w:w="110" w:type="dxa"/>
              <w:start w:w="115" w:type="dxa"/>
              <w:bottom w:w="110" w:type="dxa"/>
              <w:end w:w="115" w:type="dxa"/>
            </w:tcMar>
          </w:tcPr>
          <w:p>
            <w:pPr>
              <w:keepLines/>
              <w:spacing w:after="0" w:line="252" w:lineRule="auto"/>
            </w:pPr>
            <w:r>
              <w:rPr>
                <w:rFonts w:ascii="Aptos" w:hAnsi="Aptos"/>
                <w:color w:val="202536"/>
                <w:sz w:val="16"/>
              </w:rPr>
              <w:t>versiones_quiz</w:t>
            </w:r>
          </w:p>
        </w:tc>
        <w:tc>
          <w:tcPr>
            <w:tcW w:type="dxa" w:w="3629"/>
            <w:vAlign w:val="center"/>
            <w:tcMar>
              <w:top w:w="110" w:type="dxa"/>
              <w:start w:w="115" w:type="dxa"/>
              <w:bottom w:w="110" w:type="dxa"/>
              <w:end w:w="115" w:type="dxa"/>
            </w:tcMar>
          </w:tcPr>
          <w:p>
            <w:pPr>
              <w:keepLines/>
              <w:spacing w:after="0" w:line="252" w:lineRule="auto"/>
            </w:pPr>
            <w:r>
              <w:rPr>
                <w:rFonts w:ascii="Aptos" w:hAnsi="Aptos"/>
                <w:color w:val="202536"/>
                <w:sz w:val="16"/>
              </w:rPr>
              <w:t>id, nombre, publicada, creada_en</w:t>
            </w:r>
          </w:p>
        </w:tc>
        <w:tc>
          <w:tcPr>
            <w:tcW w:type="dxa" w:w="4061"/>
            <w:vAlign w:val="center"/>
            <w:tcMar>
              <w:top w:w="110" w:type="dxa"/>
              <w:start w:w="115" w:type="dxa"/>
              <w:bottom w:w="110" w:type="dxa"/>
              <w:end w:w="115" w:type="dxa"/>
            </w:tcMar>
          </w:tcPr>
          <w:p>
            <w:pPr>
              <w:keepLines/>
              <w:spacing w:after="0" w:line="252" w:lineRule="auto"/>
            </w:pPr>
            <w:r>
              <w:rPr>
                <w:rFonts w:ascii="Aptos" w:hAnsi="Aptos"/>
                <w:color w:val="202536"/>
                <w:sz w:val="16"/>
              </w:rPr>
              <w:t>Una versión publicada contiene preguntas. Facilita mantener versiones distintas del cuestionario.</w:t>
            </w:r>
          </w:p>
        </w:tc>
      </w:tr>
      <w:tr>
        <w:trPr>
          <w:cantSplit/>
        </w:trPr>
        <w:tc>
          <w:tcPr>
            <w:tcW w:type="dxa" w:w="2131"/>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preguntas</w:t>
            </w:r>
          </w:p>
        </w:tc>
        <w:tc>
          <w:tcPr>
            <w:tcW w:type="dxa" w:w="3629"/>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id, version_quiz_id, enunciado, orden, activa</w:t>
            </w:r>
          </w:p>
        </w:tc>
        <w:tc>
          <w:tcPr>
            <w:tcW w:type="dxa" w:w="4061"/>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Cada pregunta pertenece a una versión y puede tener muchas opciones.</w:t>
            </w:r>
          </w:p>
        </w:tc>
      </w:tr>
      <w:tr>
        <w:trPr>
          <w:cantSplit/>
        </w:trPr>
        <w:tc>
          <w:tcPr>
            <w:tcW w:type="dxa" w:w="2131"/>
            <w:vAlign w:val="center"/>
            <w:tcMar>
              <w:top w:w="110" w:type="dxa"/>
              <w:start w:w="115" w:type="dxa"/>
              <w:bottom w:w="110" w:type="dxa"/>
              <w:end w:w="115" w:type="dxa"/>
            </w:tcMar>
          </w:tcPr>
          <w:p>
            <w:pPr>
              <w:keepLines/>
              <w:spacing w:after="0" w:line="252" w:lineRule="auto"/>
            </w:pPr>
            <w:r>
              <w:rPr>
                <w:rFonts w:ascii="Aptos" w:hAnsi="Aptos"/>
                <w:color w:val="202536"/>
                <w:sz w:val="16"/>
              </w:rPr>
              <w:t>opciones</w:t>
            </w:r>
          </w:p>
        </w:tc>
        <w:tc>
          <w:tcPr>
            <w:tcW w:type="dxa" w:w="3629"/>
            <w:vAlign w:val="center"/>
            <w:tcMar>
              <w:top w:w="110" w:type="dxa"/>
              <w:start w:w="115" w:type="dxa"/>
              <w:bottom w:w="110" w:type="dxa"/>
              <w:end w:w="115" w:type="dxa"/>
            </w:tcMar>
          </w:tcPr>
          <w:p>
            <w:pPr>
              <w:keepLines/>
              <w:spacing w:after="0" w:line="252" w:lineRule="auto"/>
            </w:pPr>
            <w:r>
              <w:rPr>
                <w:rFonts w:ascii="Aptos" w:hAnsi="Aptos"/>
                <w:color w:val="202536"/>
                <w:sz w:val="16"/>
              </w:rPr>
              <w:t>id, pregunta_id, texto, orden, puntaje, alerta_critica</w:t>
            </w:r>
          </w:p>
        </w:tc>
        <w:tc>
          <w:tcPr>
            <w:tcW w:type="dxa" w:w="4061"/>
            <w:vAlign w:val="center"/>
            <w:tcMar>
              <w:top w:w="110" w:type="dxa"/>
              <w:start w:w="115" w:type="dxa"/>
              <w:bottom w:w="110" w:type="dxa"/>
              <w:end w:w="115" w:type="dxa"/>
            </w:tcMar>
          </w:tcPr>
          <w:p>
            <w:pPr>
              <w:keepLines/>
              <w:spacing w:after="0" w:line="252" w:lineRule="auto"/>
            </w:pPr>
            <w:r>
              <w:rPr>
                <w:rFonts w:ascii="Aptos" w:hAnsi="Aptos"/>
                <w:color w:val="202536"/>
                <w:sz w:val="16"/>
              </w:rPr>
              <w:t>Cada opción pertenece a una pregunta; puntaje y bandera solo se consultan desde el backend.</w:t>
            </w:r>
          </w:p>
        </w:tc>
      </w:tr>
      <w:tr>
        <w:trPr>
          <w:cantSplit/>
        </w:trPr>
        <w:tc>
          <w:tcPr>
            <w:tcW w:type="dxa" w:w="2131"/>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resultados_quiz</w:t>
            </w:r>
          </w:p>
        </w:tc>
        <w:tc>
          <w:tcPr>
            <w:tcW w:type="dxa" w:w="3629"/>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id, version_quiz_id, fecha, puntaje, nivel</w:t>
            </w:r>
          </w:p>
        </w:tc>
        <w:tc>
          <w:tcPr>
            <w:tcW w:type="dxa" w:w="4061"/>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Una fila por evaluación completada, sin nombre, cuenta ni identificador de sesión.</w:t>
            </w:r>
          </w:p>
        </w:tc>
      </w:tr>
      <w:tr>
        <w:trPr>
          <w:cantSplit/>
        </w:trPr>
        <w:tc>
          <w:tcPr>
            <w:tcW w:type="dxa" w:w="2131"/>
            <w:vAlign w:val="center"/>
            <w:tcMar>
              <w:top w:w="110" w:type="dxa"/>
              <w:start w:w="115" w:type="dxa"/>
              <w:bottom w:w="110" w:type="dxa"/>
              <w:end w:w="115" w:type="dxa"/>
            </w:tcMar>
          </w:tcPr>
          <w:p>
            <w:pPr>
              <w:keepLines/>
              <w:spacing w:after="0" w:line="252" w:lineRule="auto"/>
            </w:pPr>
            <w:r>
              <w:rPr>
                <w:rFonts w:ascii="Aptos" w:hAnsi="Aptos"/>
                <w:color w:val="202536"/>
                <w:sz w:val="16"/>
              </w:rPr>
              <w:t>estadisticas_respuestas</w:t>
            </w:r>
          </w:p>
        </w:tc>
        <w:tc>
          <w:tcPr>
            <w:tcW w:type="dxa" w:w="3629"/>
            <w:vAlign w:val="center"/>
            <w:tcMar>
              <w:top w:w="110" w:type="dxa"/>
              <w:start w:w="115" w:type="dxa"/>
              <w:bottom w:w="110" w:type="dxa"/>
              <w:end w:w="115" w:type="dxa"/>
            </w:tcMar>
          </w:tcPr>
          <w:p>
            <w:pPr>
              <w:keepLines/>
              <w:spacing w:after="0" w:line="252" w:lineRule="auto"/>
            </w:pPr>
            <w:r>
              <w:rPr>
                <w:rFonts w:ascii="Aptos" w:hAnsi="Aptos"/>
                <w:color w:val="202536"/>
                <w:sz w:val="16"/>
              </w:rPr>
              <w:t>opcion_id, cantidad, actualizada_en</w:t>
            </w:r>
          </w:p>
        </w:tc>
        <w:tc>
          <w:tcPr>
            <w:tcW w:type="dxa" w:w="4061"/>
            <w:vAlign w:val="center"/>
            <w:tcMar>
              <w:top w:w="110" w:type="dxa"/>
              <w:start w:w="115" w:type="dxa"/>
              <w:bottom w:w="110" w:type="dxa"/>
              <w:end w:w="115" w:type="dxa"/>
            </w:tcMar>
          </w:tcPr>
          <w:p>
            <w:pPr>
              <w:keepLines/>
              <w:spacing w:after="0" w:line="252" w:lineRule="auto"/>
            </w:pPr>
            <w:r>
              <w:rPr>
                <w:rFonts w:ascii="Aptos" w:hAnsi="Aptos"/>
                <w:color w:val="202536"/>
                <w:sz w:val="16"/>
              </w:rPr>
              <w:t>Un contador acumulado por opción, actualizado atómicamente; no relaciona elecciones de una misma persona.</w:t>
            </w:r>
          </w:p>
        </w:tc>
      </w:tr>
      <w:tr>
        <w:trPr>
          <w:cantSplit/>
        </w:trPr>
        <w:tc>
          <w:tcPr>
            <w:tcW w:type="dxa" w:w="2131"/>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lineas_ayuda</w:t>
            </w:r>
          </w:p>
        </w:tc>
        <w:tc>
          <w:tcPr>
            <w:tcW w:type="dxa" w:w="3629"/>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id, institución, teléfono, canal, alcance, departamento, tipo, fuente, fecha, activa</w:t>
            </w:r>
          </w:p>
        </w:tc>
        <w:tc>
          <w:tcPr>
            <w:tcW w:type="dxa" w:w="4061"/>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Directorio configurable. Distingue teléfono de WhatsApp y conserva la fuente consultada.</w:t>
            </w:r>
          </w:p>
        </w:tc>
      </w:tr>
    </w:tbl>
    <w:p>
      <w:pPr>
        <w:spacing w:after="20"/>
      </w:pPr>
    </w:p>
    <w:p>
      <w:r>
        <w:t>Relaciones principales: versiones_quiz 1:N preguntas; preguntas 1:N opciones; versiones_quiz 1:N resultados_quiz; opciones 1:1 estadisticas_respuestas cuando una opción ha recibido selecciones. El directorio es independiente del quiz. Las claves foráneas y las transacciones mantienen la consistencia entre consultas y escrituras.</w:t>
      </w:r>
    </w:p>
    <w:p>
      <w:pPr>
        <w:pStyle w:val="Heading1"/>
      </w:pPr>
      <w:r>
        <w:t>Privacidad, seguridad y accesibilidad</w:t>
      </w:r>
    </w:p>
    <w:p>
      <w:pPr>
        <w:pStyle w:val="Heading2"/>
      </w:pPr>
      <w:r>
        <w:t>Privacidad de las respuestas</w:t>
      </w:r>
    </w:p>
    <w:p>
      <w:r>
        <w:t>No se solicitan cuentas ni datos personales. Las respuestas se conservan en la memoria de la página durante el cuestionario. Al enviarlas, el servidor las usa temporalmente para validar y calcular el resultado. En MySQL solo deja un resumen por intento (fecha, puntaje y nivel) y contadores independientes por opción. No hay una tabla que vincule esos contadores con una persona o con el resultado individual.</w:t>
      </w:r>
    </w:p>
    <w:p>
      <w:r>
        <w:t>El servidor y el proxy de producción deben configurarse para no registrar cuerpos JSON de solicitudes. La tabla resultados_quiz requiere una política de retención definida antes de su uso público. Las estadísticas agregadas también deben interpretarse con prudencia cuando el número de respuestas sea pequeño.</w:t>
      </w:r>
    </w:p>
    <w:p>
      <w:pPr>
        <w:pStyle w:val="Heading2"/>
      </w:pPr>
      <w:r>
        <w:t>Controles técnicos</w:t>
      </w:r>
    </w:p>
    <w:p>
      <w:pPr>
        <w:pStyle w:val="ListBullet"/>
        <w:spacing w:after="60"/>
      </w:pPr>
      <w:r>
        <w:t>Las consultas SQL reciben parámetros, no texto SQL construido con respuestas del navegador.</w:t>
      </w:r>
    </w:p>
    <w:p>
      <w:pPr>
        <w:pStyle w:val="ListBullet"/>
        <w:spacing w:after="60"/>
      </w:pPr>
      <w:r>
        <w:t>La API valida la versión activa, IDs positivos, cantidad de opciones, duplicados y una respuesta por pregunta.</w:t>
      </w:r>
    </w:p>
    <w:p>
      <w:pPr>
        <w:pStyle w:val="ListBullet"/>
        <w:spacing w:after="60"/>
      </w:pPr>
      <w:r>
        <w:t>Los puntajes y las señales críticas se procesan en el servidor y no se exponen al cargar el cuestionario.</w:t>
      </w:r>
    </w:p>
    <w:p>
      <w:pPr>
        <w:pStyle w:val="ListBullet"/>
        <w:spacing w:after="60"/>
      </w:pPr>
      <w:r>
        <w:t>Las credenciales se leen desde variables de entorno y permanecen fuera del código fuente compartido.</w:t>
      </w:r>
    </w:p>
    <w:p>
      <w:pPr>
        <w:pStyle w:val="ListBullet"/>
        <w:spacing w:after="60"/>
      </w:pPr>
      <w:r>
        <w:t>Los enlaces externos de WhatsApp usan una pestaña nueva con rel="noopener noreferrer".</w:t>
      </w:r>
    </w:p>
    <w:p>
      <w:pPr>
        <w:pStyle w:val="Heading2"/>
      </w:pPr>
      <w:r>
        <w:t>Accesibilidad y uso móvil</w:t>
      </w:r>
    </w:p>
    <w:p>
      <w:r>
        <w:t>La interfaz usa CSS adaptable, elementos semánticos, etiquetas asociadas a controles, indicador de progreso, mensajes de estado y foco visible. Los botones tienen áreas táctiles amplias y la hoja de estilos respeta la preferencia de movimiento reducido. Antes de la entrega conviene revisar contraste, teclado, lector de pantalla y tamaños reales en un teléfono.</w:t>
      </w:r>
    </w:p>
    <w:p>
      <w:pPr>
        <w:pStyle w:val="Heading1"/>
      </w:pPr>
      <w:r>
        <w:t>Directorio de apoyo</w:t>
      </w:r>
    </w:p>
    <w:p>
      <w:r>
        <w:t>La base local contiene 13 registros: dos líneas nacionales y once contactos municipales o regionales. Los datos incluyen recursos de La Paz y Cochabamba, además de contactos departamentales FELCV publicados como WhatsApp para cobertura de Chuquisaca, Cochabamba, Oruro, Potosí, Tarija, Santa Cruz, Beni y Pando. La Paz completa la cobertura departamental con líneas municipales. Los números WhatsApp se presentan como chat, no como llamada.</w:t>
      </w:r>
    </w:p>
    <w:p>
      <w:r>
        <w:t>La fecha de verificación en la base indica cuándo se consultó la fuente en línea, no que el equipo haya realizado una llamada de prueba. El portafolio policial que respalda varios contactos corresponde a 2023. Antes de publicar, se debe confirmar cada número, canal, horario y alcance local. La aplicación no afirma que el listado sea un registro exhaustivo de todos los SLIM de Bolivia.</w:t>
      </w:r>
    </w:p>
    <w:p>
      <w:pPr>
        <w:pStyle w:val="Heading1"/>
      </w:pPr>
      <w:r>
        <w:t>Operación local y despliegue público</w:t>
      </w:r>
    </w:p>
    <w:p>
      <w:pPr>
        <w:pStyle w:val="Heading2"/>
      </w:pPr>
      <w:r>
        <w:t>Ejecución en la computadora de desarrollo</w:t>
      </w:r>
    </w:p>
    <w:p>
      <w:r>
        <w:t>En la instalación local, el script scripts/start-local.ps1 inicia MySQL, el backend y Vite. La interfaz se abre en http://localhost:5173, la API escucha en el puerto 3001 y MySQL en 3306. La carpeta runtime contiene el servidor MySQL portable y credenciales locales; estos archivos no deben compartirse ni publicarse.</w:t>
      </w:r>
    </w:p>
    <w:p>
      <w:pPr>
        <w:pStyle w:val="Heading2"/>
      </w:pPr>
      <w:r>
        <w:t>Estado de publicación</w:t>
      </w:r>
    </w:p>
    <w:p>
      <w:r>
        <w:t>Al 21 de octubre de 2026, RedLila no está desplegada en una URL pública. localhost solo es accesible desde la computadora local. La convocatoria exige una URL pública funcional; por eso el despliegue queda como etapa necesaria antes de enviar el formulario oficial.</w:t>
      </w:r>
    </w:p>
    <w:p>
      <w:pPr>
        <w:pStyle w:val="Heading2"/>
      </w:pPr>
      <w:r>
        <w:t>Pasos para publicar</w:t>
      </w:r>
    </w:p>
    <w:p>
      <w:pPr>
        <w:pStyle w:val="ListNumber"/>
        <w:spacing w:after="80"/>
      </w:pPr>
      <w:r>
        <w:t>Elegir un alojamiento que permita servir el frontend, ejecutar Node.js y conectar una base MySQL 8 con copias de seguridad.</w:t>
      </w:r>
    </w:p>
    <w:p>
      <w:pPr>
        <w:pStyle w:val="ListNumber"/>
        <w:spacing w:after="80"/>
      </w:pPr>
      <w:r>
        <w:t>Configurar dominio y HTTPS; servir frontend/dist y dirigir /api a la API Node.js mediante proxy inverso.</w:t>
      </w:r>
    </w:p>
    <w:p>
      <w:pPr>
        <w:pStyle w:val="ListNumber"/>
        <w:spacing w:after="80"/>
      </w:pPr>
      <w:r>
        <w:t>Crear la base de datos de producción, cargar el esquema de backend/seeds/001_completo.sql y usar una cuenta de aplicación con permisos mínimos.</w:t>
      </w:r>
    </w:p>
    <w:p>
      <w:pPr>
        <w:pStyle w:val="ListNumber"/>
        <w:spacing w:after="80"/>
      </w:pPr>
      <w:r>
        <w:t>Guardar DB_HOST, DB_PORT, DB_NAME, DB_USER, DB_PASSWORD, PORT y CORS_ORIGIN como variables de entorno del servidor. No incluir secretos en el frontend ni en el documento de entrega.</w:t>
      </w:r>
    </w:p>
    <w:p>
      <w:pPr>
        <w:pStyle w:val="ListNumber"/>
        <w:spacing w:after="80"/>
      </w:pPr>
      <w:r>
        <w:t>Comprobar desde un teléfono o una red externa las rutas públicas, el quiz, la escritura transaccional, el directorio de todos los departamentos y el botón de salida.</w:t>
      </w:r>
    </w:p>
    <w:p>
      <w:pPr>
        <w:pStyle w:val="ListNumber"/>
        <w:spacing w:after="80"/>
      </w:pPr>
      <w:r>
        <w:t>Confirmar los teléfonos del directorio, revisar que los logs no capturen respuestas y definir retención y respaldo de la base.</w:t>
      </w:r>
    </w:p>
    <w:p>
      <w:pPr>
        <w:pStyle w:val="ListNumber"/>
        <w:spacing w:after="80"/>
      </w:pPr>
      <w:r>
        <w:t>Enviar nombres del participante y URL pública por el formulario oficial antes del cierre del plazo indicado en la convocatoria.</w:t>
      </w:r>
    </w:p>
    <w:p>
      <w:pPr>
        <w:pStyle w:val="Heading1"/>
      </w:pPr>
      <w:r>
        <w:t>Riesgos y límites actuales</w:t>
      </w:r>
    </w:p>
    <w:tbl>
      <w:tblPr>
        <w:tblW w:type="auto" w:w="0"/>
        <w:jc w:val="center"/>
        <w:tblLayout w:type="fixed"/>
        <w:tblLook w:firstColumn="1" w:firstRow="1" w:lastColumn="0" w:lastRow="0" w:noHBand="0" w:noVBand="1" w:val="04A0"/>
        <w:tblBorders>
          <w:top w:val="single" w:sz="5" w:space="0" w:color="D9DEE8"/>
          <w:left w:val="single" w:sz="5" w:space="0" w:color="D9DEE8"/>
          <w:bottom w:val="single" w:sz="5" w:space="0" w:color="D9DEE8"/>
          <w:right w:val="single" w:sz="5" w:space="0" w:color="D9DEE8"/>
          <w:insideH w:val="single" w:sz="5" w:space="0" w:color="D9DEE8"/>
          <w:insideV w:val="single" w:sz="5" w:space="0" w:color="D9DEE8"/>
        </w:tblBorders>
      </w:tblPr>
      <w:tblGrid>
        <w:gridCol w:w="3293"/>
        <w:gridCol w:w="3293"/>
        <w:gridCol w:w="3293"/>
      </w:tblGrid>
      <w:tr>
        <w:trPr>
          <w:tblHeader w:val="true"/>
          <w:cantSplit/>
        </w:trPr>
        <w:tc>
          <w:tcPr>
            <w:tcW w:type="dxa" w:w="2376"/>
            <w:vAlign w:val="center"/>
            <w:shd w:fill="25304A"/>
            <w:tcMar>
              <w:top w:w="110" w:type="dxa"/>
              <w:start w:w="115" w:type="dxa"/>
              <w:bottom w:w="110" w:type="dxa"/>
              <w:end w:w="115" w:type="dxa"/>
            </w:tcMar>
          </w:tcPr>
          <w:p>
            <w:pPr>
              <w:keepLines/>
              <w:spacing w:after="0"/>
            </w:pPr>
            <w:r>
              <w:rPr>
                <w:rFonts w:ascii="Aptos" w:hAnsi="Aptos"/>
                <w:b/>
                <w:color w:val="FFFFFF"/>
                <w:sz w:val="17"/>
              </w:rPr>
              <w:t>Riesgo o límite</w:t>
            </w:r>
          </w:p>
        </w:tc>
        <w:tc>
          <w:tcPr>
            <w:tcW w:type="dxa" w:w="3384"/>
            <w:vAlign w:val="center"/>
            <w:shd w:fill="25304A"/>
            <w:tcMar>
              <w:top w:w="110" w:type="dxa"/>
              <w:start w:w="115" w:type="dxa"/>
              <w:bottom w:w="110" w:type="dxa"/>
              <w:end w:w="115" w:type="dxa"/>
            </w:tcMar>
          </w:tcPr>
          <w:p>
            <w:pPr>
              <w:keepLines/>
              <w:spacing w:after="0"/>
            </w:pPr>
            <w:r>
              <w:rPr>
                <w:rFonts w:ascii="Aptos" w:hAnsi="Aptos"/>
                <w:b/>
                <w:color w:val="FFFFFF"/>
                <w:sz w:val="17"/>
              </w:rPr>
              <w:t>Efecto posible</w:t>
            </w:r>
          </w:p>
        </w:tc>
        <w:tc>
          <w:tcPr>
            <w:tcW w:type="dxa" w:w="4061"/>
            <w:vAlign w:val="center"/>
            <w:shd w:fill="25304A"/>
            <w:tcMar>
              <w:top w:w="110" w:type="dxa"/>
              <w:start w:w="115" w:type="dxa"/>
              <w:bottom w:w="110" w:type="dxa"/>
              <w:end w:w="115" w:type="dxa"/>
            </w:tcMar>
          </w:tcPr>
          <w:p>
            <w:pPr>
              <w:keepLines/>
              <w:spacing w:after="0"/>
            </w:pPr>
            <w:r>
              <w:rPr>
                <w:rFonts w:ascii="Aptos" w:hAnsi="Aptos"/>
                <w:b/>
                <w:color w:val="FFFFFF"/>
                <w:sz w:val="17"/>
              </w:rPr>
              <w:t>Medida recomendada</w:t>
            </w:r>
          </w:p>
        </w:tc>
      </w:tr>
      <w:tr>
        <w:trPr>
          <w:cantSplit/>
        </w:trPr>
        <w:tc>
          <w:tcPr>
            <w:tcW w:type="dxa" w:w="2376"/>
            <w:vAlign w:val="center"/>
            <w:tcMar>
              <w:top w:w="110" w:type="dxa"/>
              <w:start w:w="115" w:type="dxa"/>
              <w:bottom w:w="110" w:type="dxa"/>
              <w:end w:w="115" w:type="dxa"/>
            </w:tcMar>
          </w:tcPr>
          <w:p>
            <w:pPr>
              <w:keepLines/>
              <w:spacing w:after="0" w:line="252" w:lineRule="auto"/>
            </w:pPr>
            <w:r>
              <w:rPr>
                <w:rFonts w:ascii="Aptos" w:hAnsi="Aptos"/>
                <w:color w:val="202536"/>
                <w:sz w:val="16"/>
              </w:rPr>
              <w:t>Quiz interpretado como diagnóstico</w:t>
            </w:r>
          </w:p>
        </w:tc>
        <w:tc>
          <w:tcPr>
            <w:tcW w:type="dxa" w:w="3384"/>
            <w:vAlign w:val="center"/>
            <w:tcMar>
              <w:top w:w="110" w:type="dxa"/>
              <w:start w:w="115" w:type="dxa"/>
              <w:bottom w:w="110" w:type="dxa"/>
              <w:end w:w="115" w:type="dxa"/>
            </w:tcMar>
          </w:tcPr>
          <w:p>
            <w:pPr>
              <w:keepLines/>
              <w:spacing w:after="0" w:line="252" w:lineRule="auto"/>
            </w:pPr>
            <w:r>
              <w:rPr>
                <w:rFonts w:ascii="Aptos" w:hAnsi="Aptos"/>
                <w:color w:val="202536"/>
                <w:sz w:val="16"/>
              </w:rPr>
              <w:t>Una usuaria podría tomar el color como certeza clínica o predicción.</w:t>
            </w:r>
          </w:p>
        </w:tc>
        <w:tc>
          <w:tcPr>
            <w:tcW w:type="dxa" w:w="4061"/>
            <w:vAlign w:val="center"/>
            <w:tcMar>
              <w:top w:w="110" w:type="dxa"/>
              <w:start w:w="115" w:type="dxa"/>
              <w:bottom w:w="110" w:type="dxa"/>
              <w:end w:w="115" w:type="dxa"/>
            </w:tcMar>
          </w:tcPr>
          <w:p>
            <w:pPr>
              <w:keepLines/>
              <w:spacing w:after="0" w:line="252" w:lineRule="auto"/>
            </w:pPr>
            <w:r>
              <w:rPr>
                <w:rFonts w:ascii="Aptos" w:hAnsi="Aptos"/>
                <w:color w:val="202536"/>
                <w:sz w:val="16"/>
              </w:rPr>
              <w:t>Mantener avisos visibles; explicar umbrales; consultar especialistas antes de una futura validación.</w:t>
            </w:r>
          </w:p>
        </w:tc>
      </w:tr>
      <w:tr>
        <w:trPr>
          <w:cantSplit/>
        </w:trPr>
        <w:tc>
          <w:tcPr>
            <w:tcW w:type="dxa" w:w="2376"/>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Contactos desactualizados</w:t>
            </w:r>
          </w:p>
        </w:tc>
        <w:tc>
          <w:tcPr>
            <w:tcW w:type="dxa" w:w="338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Una llamada o mensaje podría no llegar al servicio esperado.</w:t>
            </w:r>
          </w:p>
        </w:tc>
        <w:tc>
          <w:tcPr>
            <w:tcW w:type="dxa" w:w="4061"/>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Confirmar cada dato con la institución y actualizar responsable y fecha de revisión.</w:t>
            </w:r>
          </w:p>
        </w:tc>
      </w:tr>
      <w:tr>
        <w:trPr>
          <w:cantSplit/>
        </w:trPr>
        <w:tc>
          <w:tcPr>
            <w:tcW w:type="dxa" w:w="2376"/>
            <w:vAlign w:val="center"/>
            <w:tcMar>
              <w:top w:w="110" w:type="dxa"/>
              <w:start w:w="115" w:type="dxa"/>
              <w:bottom w:w="110" w:type="dxa"/>
              <w:end w:w="115" w:type="dxa"/>
            </w:tcMar>
          </w:tcPr>
          <w:p>
            <w:pPr>
              <w:keepLines/>
              <w:spacing w:after="0" w:line="252" w:lineRule="auto"/>
            </w:pPr>
            <w:r>
              <w:rPr>
                <w:rFonts w:ascii="Aptos" w:hAnsi="Aptos"/>
                <w:color w:val="202536"/>
                <w:sz w:val="16"/>
              </w:rPr>
              <w:t>Conexión API o MySQL no disponible</w:t>
            </w:r>
          </w:p>
        </w:tc>
        <w:tc>
          <w:tcPr>
            <w:tcW w:type="dxa" w:w="3384"/>
            <w:vAlign w:val="center"/>
            <w:tcMar>
              <w:top w:w="110" w:type="dxa"/>
              <w:start w:w="115" w:type="dxa"/>
              <w:bottom w:w="110" w:type="dxa"/>
              <w:end w:w="115" w:type="dxa"/>
            </w:tcMar>
          </w:tcPr>
          <w:p>
            <w:pPr>
              <w:keepLines/>
              <w:spacing w:after="0" w:line="252" w:lineRule="auto"/>
            </w:pPr>
            <w:r>
              <w:rPr>
                <w:rFonts w:ascii="Aptos" w:hAnsi="Aptos"/>
                <w:color w:val="202536"/>
                <w:sz w:val="16"/>
              </w:rPr>
              <w:t>No cargan preguntas ni contactos regionales.</w:t>
            </w:r>
          </w:p>
        </w:tc>
        <w:tc>
          <w:tcPr>
            <w:tcW w:type="dxa" w:w="4061"/>
            <w:vAlign w:val="center"/>
            <w:tcMar>
              <w:top w:w="110" w:type="dxa"/>
              <w:start w:w="115" w:type="dxa"/>
              <w:bottom w:w="110" w:type="dxa"/>
              <w:end w:w="115" w:type="dxa"/>
            </w:tcMar>
          </w:tcPr>
          <w:p>
            <w:pPr>
              <w:keepLines/>
              <w:spacing w:after="0" w:line="252" w:lineRule="auto"/>
            </w:pPr>
            <w:r>
              <w:rPr>
                <w:rFonts w:ascii="Aptos" w:hAnsi="Aptos"/>
                <w:color w:val="202536"/>
                <w:sz w:val="16"/>
              </w:rPr>
              <w:t>Monitorear API y base; configurar respaldo y mostrar claramente qué datos locales siguen disponibles.</w:t>
            </w:r>
          </w:p>
        </w:tc>
      </w:tr>
      <w:tr>
        <w:trPr>
          <w:cantSplit/>
        </w:trPr>
        <w:tc>
          <w:tcPr>
            <w:tcW w:type="dxa" w:w="2376"/>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Historial del dispositivo</w:t>
            </w:r>
          </w:p>
        </w:tc>
        <w:tc>
          <w:tcPr>
            <w:tcW w:type="dxa" w:w="3384"/>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La salida rápida no elimina rastros de navegación o del sistema.</w:t>
            </w:r>
          </w:p>
        </w:tc>
        <w:tc>
          <w:tcPr>
            <w:tcW w:type="dxa" w:w="4061"/>
            <w:vAlign w:val="center"/>
            <w:tcMar>
              <w:top w:w="110" w:type="dxa"/>
              <w:start w:w="115" w:type="dxa"/>
              <w:bottom w:w="110" w:type="dxa"/>
              <w:end w:w="115" w:type="dxa"/>
            </w:tcMar>
            <w:shd w:fill="F1F4F9"/>
          </w:tcPr>
          <w:p>
            <w:pPr>
              <w:keepLines/>
              <w:spacing w:after="0" w:line="252" w:lineRule="auto"/>
            </w:pPr>
            <w:r>
              <w:rPr>
                <w:rFonts w:ascii="Aptos" w:hAnsi="Aptos"/>
                <w:color w:val="202536"/>
                <w:sz w:val="16"/>
              </w:rPr>
              <w:t>Advertir el límite y recomendar un dispositivo seguro si la usuaria sospecha monitoreo.</w:t>
            </w:r>
          </w:p>
        </w:tc>
      </w:tr>
      <w:tr>
        <w:trPr>
          <w:cantSplit/>
        </w:trPr>
        <w:tc>
          <w:tcPr>
            <w:tcW w:type="dxa" w:w="2376"/>
            <w:vAlign w:val="center"/>
            <w:tcMar>
              <w:top w:w="110" w:type="dxa"/>
              <w:start w:w="115" w:type="dxa"/>
              <w:bottom w:w="110" w:type="dxa"/>
              <w:end w:w="115" w:type="dxa"/>
            </w:tcMar>
          </w:tcPr>
          <w:p>
            <w:pPr>
              <w:keepLines/>
              <w:spacing w:after="0" w:line="252" w:lineRule="auto"/>
            </w:pPr>
            <w:r>
              <w:rPr>
                <w:rFonts w:ascii="Aptos" w:hAnsi="Aptos"/>
                <w:color w:val="202536"/>
                <w:sz w:val="16"/>
              </w:rPr>
              <w:t>Sin administración visual</w:t>
            </w:r>
          </w:p>
        </w:tc>
        <w:tc>
          <w:tcPr>
            <w:tcW w:type="dxa" w:w="3384"/>
            <w:vAlign w:val="center"/>
            <w:tcMar>
              <w:top w:w="110" w:type="dxa"/>
              <w:start w:w="115" w:type="dxa"/>
              <w:bottom w:w="110" w:type="dxa"/>
              <w:end w:w="115" w:type="dxa"/>
            </w:tcMar>
          </w:tcPr>
          <w:p>
            <w:pPr>
              <w:keepLines/>
              <w:spacing w:after="0" w:line="252" w:lineRule="auto"/>
            </w:pPr>
            <w:r>
              <w:rPr>
                <w:rFonts w:ascii="Aptos" w:hAnsi="Aptos"/>
                <w:color w:val="202536"/>
                <w:sz w:val="16"/>
              </w:rPr>
              <w:t>Cambiar preguntas, criterios o contactos exige intervención sobre la base.</w:t>
            </w:r>
          </w:p>
        </w:tc>
        <w:tc>
          <w:tcPr>
            <w:tcW w:type="dxa" w:w="4061"/>
            <w:vAlign w:val="center"/>
            <w:tcMar>
              <w:top w:w="110" w:type="dxa"/>
              <w:start w:w="115" w:type="dxa"/>
              <w:bottom w:w="110" w:type="dxa"/>
              <w:end w:w="115" w:type="dxa"/>
            </w:tcMar>
          </w:tcPr>
          <w:p>
            <w:pPr>
              <w:keepLines/>
              <w:spacing w:after="0" w:line="252" w:lineRule="auto"/>
            </w:pPr>
            <w:r>
              <w:rPr>
                <w:rFonts w:ascii="Aptos" w:hAnsi="Aptos"/>
                <w:color w:val="202536"/>
                <w:sz w:val="16"/>
              </w:rPr>
              <w:t>Mantener scripts SQL versionados y revisar cambios antes de aplicarlos.</w:t>
            </w:r>
          </w:p>
        </w:tc>
      </w:tr>
    </w:tbl>
    <w:p>
      <w:pPr>
        <w:spacing w:after="20"/>
      </w:pPr>
    </w:p>
    <w:p>
      <w:pPr>
        <w:pStyle w:val="Heading1"/>
      </w:pPr>
      <w:r>
        <w:t>Demostración recomendada</w:t>
      </w:r>
    </w:p>
    <w:p>
      <w:r>
        <w:t>Para explicar el proyecto en la evaluación, presenta el sistema en este orden. La secuencia muestra tanto el propósito social como el funcionamiento técnico.</w:t>
      </w:r>
    </w:p>
    <w:p>
      <w:pPr>
        <w:pStyle w:val="ListNumber"/>
        <w:spacing w:after="80"/>
      </w:pPr>
      <w:r>
        <w:t>Mostrar Inicio y explicar el objetivo de RedLila y el acceso directo a sus secciones.</w:t>
      </w:r>
    </w:p>
    <w:p>
      <w:pPr>
        <w:pStyle w:val="ListNumber"/>
        <w:spacing w:after="80"/>
      </w:pPr>
      <w:r>
        <w:t>Abrir Información y recorrer las formas de violencia, las recomendaciones y las fuentes.</w:t>
      </w:r>
    </w:p>
    <w:p>
      <w:pPr>
        <w:pStyle w:val="ListNumber"/>
        <w:spacing w:after="80"/>
      </w:pPr>
      <w:r>
        <w:t>Enseñar el directorio; filtrar un departamento y explicar la diferencia entre llamada y WhatsApp.</w:t>
      </w:r>
    </w:p>
    <w:p>
      <w:pPr>
        <w:pStyle w:val="ListNumber"/>
        <w:spacing w:after="80"/>
      </w:pPr>
      <w:r>
        <w:t>Iniciar el quiz; mostrar que las preguntas vienen de la base y que el puntaje no se revela en las opciones.</w:t>
      </w:r>
    </w:p>
    <w:p>
      <w:pPr>
        <w:pStyle w:val="ListNumber"/>
        <w:spacing w:after="80"/>
      </w:pPr>
      <w:r>
        <w:t>Completar un ejemplo de riesgo controlado y explicar la clasificación educativa y la prioridad de alertas críticas.</w:t>
      </w:r>
    </w:p>
    <w:p>
      <w:pPr>
        <w:pStyle w:val="ListNumber"/>
        <w:spacing w:after="80"/>
      </w:pPr>
      <w:r>
        <w:t>Mostrar cómo las opciones incrementan estadísticas agregadas y aclarar que el sistema no registra la combinación individual.</w:t>
      </w:r>
    </w:p>
    <w:p>
      <w:pPr>
        <w:pStyle w:val="ListNumber"/>
        <w:spacing w:after="80"/>
      </w:pPr>
      <w:r>
        <w:t>Presentar la página de Desarrolladores y explicar la arquitectura y el propósito académico.</w:t>
      </w:r>
    </w:p>
    <w:p>
      <w:pPr>
        <w:pStyle w:val="ListNumber"/>
        <w:spacing w:after="80"/>
      </w:pPr>
      <w:r>
        <w:t>Finalizar con el botón de salida rápida y explicar de forma honesta qué cambia y qué rastros no puede borrar.</w:t>
      </w:r>
    </w:p>
    <w:p>
      <w:pPr>
        <w:pStyle w:val="Heading1"/>
      </w:pPr>
      <w:r>
        <w:t>Fuentes de consulta</w:t>
      </w:r>
    </w:p>
    <w:p>
      <w:r>
        <w:t>Las fuentes se consultaron para fundamentar el material educativo y documentar el directorio. La inclusión de una fuente no certifica que un teléfono continúe operativo.</w:t>
      </w:r>
    </w:p>
    <w:p>
      <w:pPr>
        <w:pStyle w:val="ListNumber"/>
        <w:spacing w:after="80"/>
      </w:pPr>
      <w:r>
        <w:t xml:space="preserve">1. Organización Mundial de la Salud. Violencia contra la mujer. Ficha informativa, 18 de junio de 2026. </w:t>
      </w:r>
      <w:hyperlink r:id="rId11">
        <w:r>
          <w:rPr>
            <w:color w:val="7652A5"/>
            <w:u w:val="single"/>
          </w:rPr>
          <w:t>Abrir fuente</w:t>
        </w:r>
      </w:hyperlink>
    </w:p>
    <w:p>
      <w:pPr>
        <w:pStyle w:val="ListNumber"/>
        <w:spacing w:after="80"/>
      </w:pPr>
      <w:r>
        <w:t xml:space="preserve">2. UNFPA Bolivia. Ley Integral para Garantizar a las Mujeres una Vida Libre de Violencia, Ley N.º 348. </w:t>
      </w:r>
      <w:hyperlink r:id="rId12">
        <w:r>
          <w:rPr>
            <w:color w:val="7652A5"/>
            <w:u w:val="single"/>
          </w:rPr>
          <w:t>Abrir fuente</w:t>
        </w:r>
      </w:hyperlink>
    </w:p>
    <w:p>
      <w:pPr>
        <w:pStyle w:val="ListNumber"/>
        <w:spacing w:after="80"/>
      </w:pPr>
      <w:r>
        <w:t xml:space="preserve">3. Policía Boliviana. Portafolio de servicios institucionales, 2023. </w:t>
      </w:r>
      <w:hyperlink r:id="rId13">
        <w:r>
          <w:rPr>
            <w:color w:val="7652A5"/>
            <w:u w:val="single"/>
          </w:rPr>
          <w:t>Abrir fuente</w:t>
        </w:r>
      </w:hyperlink>
    </w:p>
    <w:p>
      <w:pPr>
        <w:pStyle w:val="ListNumber"/>
        <w:spacing w:after="80"/>
      </w:pPr>
      <w:r>
        <w:t xml:space="preserve">4. Gobierno Autónomo Municipal de La Paz. PAIF de emergencia, línea 156. </w:t>
      </w:r>
      <w:hyperlink r:id="rId14">
        <w:r>
          <w:rPr>
            <w:color w:val="7652A5"/>
            <w:u w:val="single"/>
          </w:rPr>
          <w:t>Abrir fuente</w:t>
        </w:r>
      </w:hyperlink>
    </w:p>
    <w:p>
      <w:pPr>
        <w:pStyle w:val="ListNumber"/>
        <w:spacing w:after="80"/>
      </w:pPr>
      <w:r>
        <w:t xml:space="preserve">5. Observatorio Municipal de Seguridad Ciudadana y Violencia de Cochabamba. Servicios. </w:t>
      </w:r>
      <w:hyperlink r:id="rId15">
        <w:r>
          <w:rPr>
            <w:color w:val="7652A5"/>
            <w:u w:val="single"/>
          </w:rPr>
          <w:t>Abrir fuente</w:t>
        </w:r>
      </w:hyperlink>
    </w:p>
    <w:p>
      <w:pPr>
        <w:pStyle w:val="ListNumber"/>
        <w:spacing w:after="80"/>
      </w:pPr>
      <w:r>
        <w:t xml:space="preserve">6. Convocatoria a Actividad de Desarrollo de Aplicaciones Web, Gestión 2026. </w:t>
      </w:r>
    </w:p>
    <w:p>
      <w:r>
        <w:t>Formularios indicados en la convocatoria: inscripción de proyectos temáticos en Cognito Forms y entrega final en Google Forms. La entrega debe incluir el nombre del participante y la URL pública de la aplicación, de acuerdo con el texto de la convocatoria proporcionado para este informe.</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5"/>
        <w:sz w:val="16"/>
      </w:rPr>
      <w:t xml:space="preserve">Diseño y Programación Web III   ·   </w:t>
    </w:r>
    <w:r>
      <w:rPr>
        <w:rFonts w:ascii="Aptos" w:hAnsi="Aptos"/>
        <w:color w:val="5B6475"/>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475"/>
        <w:sz w:val="16"/>
      </w:rPr>
      <w:t>REDLILA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es/news-room/fact-sheets/detail/violence-against-women" TargetMode="External"/><Relationship Id="rId12" Type="http://schemas.openxmlformats.org/officeDocument/2006/relationships/hyperlink" Target="https://bolivia.unfpa.org/es/publicaciones/ley-integral-para-garantizar-a-las-mujeres-una-vida-libre-de-violencia-ley-n%C2%BA-348-del-9" TargetMode="External"/><Relationship Id="rId13" Type="http://schemas.openxmlformats.org/officeDocument/2006/relationships/hyperlink" Target="https://www.policia.bo/wp-content/uploads/2023/12/PORTAFOLIO-DE-SERVICIOS-OFICIAL-APROBADO-2023-ELVIN-1.pdf" TargetMode="External"/><Relationship Id="rId14" Type="http://schemas.openxmlformats.org/officeDocument/2006/relationships/hyperlink" Target="https://lapaz.bo/paif-de-emergencia-linea-156/" TargetMode="External"/><Relationship Id="rId15" Type="http://schemas.openxmlformats.org/officeDocument/2006/relationships/hyperlink" Target="https://observatorioviolencia.cochabamba.bo/servic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sistema RedLila</dc:title>
  <dc:subject>Funcionamiento, arquitectura, módulos y preparación para la entrega académica</dc:subject>
  <dc:creator>Diego Janco Paco</dc:creator>
  <cp:keywords>RedLila, violencia contra la mujer, aplicación web, informe técnico</cp:keywords>
  <dc:description>generated by python-docx</dc:description>
  <cp:lastModifiedBy/>
  <cp:revision>1</cp:revision>
  <dcterms:created xsi:type="dcterms:W3CDTF">2013-12-23T23:15:00Z</dcterms:created>
  <dcterms:modified xsi:type="dcterms:W3CDTF">2013-12-23T23:15:00Z</dcterms:modified>
  <cp:category/>
</cp:coreProperties>
</file>