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36.png" ContentType="image/png"/>
  <Override PartName="/word/media/rId24.png" ContentType="image/png"/>
  <Override PartName="/word/media/rId31.png" ContentType="image/png"/>
  <Override PartName="/word/media/rId37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3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dav-project-2-regression-with-principal-components"/>
      <w:bookmarkEnd w:id="21"/>
      <w:r>
        <w:t xml:space="preserve">EDAV Project 2: Regression with Principal Components</w:t>
      </w:r>
    </w:p>
    <w:p>
      <w:pPr>
        <w:pStyle w:val="Heading2"/>
      </w:pPr>
      <w:bookmarkStart w:id="22" w:name="aim-visualize-relationship-between-flood-characteristics-and-number-of-people-displaced"/>
      <w:bookmarkEnd w:id="22"/>
      <w:r>
        <w:t xml:space="preserve">Aim: Visualize relationship between flood characteristics and number of people displaced</w:t>
      </w:r>
    </w:p>
    <w:p>
      <w:pPr>
        <w:pStyle w:val="Heading3"/>
      </w:pPr>
      <w:bookmarkStart w:id="23" w:name="visualize-distribution-of-variables"/>
      <w:bookmarkEnd w:id="23"/>
      <w:r>
        <w:t xml:space="preserve">1. Visualize distribution of variables</w:t>
      </w:r>
    </w:p>
    <w:p>
      <w:pPr>
        <w:pStyle w:val="Compact"/>
        <w:numPr>
          <w:numId w:val="1001"/>
          <w:ilvl w:val="0"/>
        </w:numPr>
      </w:pPr>
      <w:r>
        <w:t xml:space="preserve">Severity: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_sever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Affected area: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_affec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Duration: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_du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Number displaced: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_displac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enter-and-scale"/>
      <w:bookmarkEnd w:id="28"/>
      <w:r>
        <w:t xml:space="preserve">2. Center and scale</w:t>
      </w:r>
    </w:p>
    <w:p>
      <w:pPr>
        <w:pStyle w:val="FirstParagraph"/>
      </w:pPr>
      <w:r>
        <w:t xml:space="preserve">Except for severity, other variables appear skewed, so log-transform them and then center and s</w:t>
      </w:r>
      <w:r>
        <w:t xml:space="preserve"> </w:t>
      </w:r>
      <w:r>
        <w:t xml:space="preserve">cale them.</w:t>
      </w:r>
    </w:p>
    <w:p>
      <w:pPr>
        <w:pStyle w:val="Heading3"/>
      </w:pPr>
      <w:bookmarkStart w:id="29" w:name="linear-regression"/>
      <w:bookmarkEnd w:id="29"/>
      <w:r>
        <w:t xml:space="preserve">3. Linear regression</w:t>
      </w:r>
    </w:p>
    <w:p>
      <w:pPr>
        <w:pStyle w:val="FirstParagraph"/>
      </w:pPr>
      <w:r>
        <w:t xml:space="preserve">Perform multiple linear regression with</w:t>
      </w:r>
      <w:r>
        <w:t xml:space="preserve"> </w:t>
      </w:r>
      <w:r>
        <w:t xml:space="preserve">“</w:t>
      </w:r>
      <w:r>
        <w:t xml:space="preserve">displaced</w:t>
      </w:r>
      <w:r>
        <w:t xml:space="preserve">”</w:t>
      </w:r>
      <w:r>
        <w:t xml:space="preserve"> </w:t>
      </w:r>
      <w:r>
        <w:t xml:space="preserve">as dependent variable and other three varia</w:t>
      </w:r>
      <w:r>
        <w:t xml:space="preserve"> </w:t>
      </w:r>
      <w:r>
        <w:t xml:space="preserve">bles as independent variables.</w:t>
      </w:r>
    </w:p>
    <w:p>
      <w:pPr>
        <w:pStyle w:val="BodyText"/>
      </w:pPr>
      <w:r>
        <w:t xml:space="preserve">This model seems to explain ~19% of number of people displaced.</w:t>
      </w:r>
    </w:p>
    <w:p>
      <w:pPr>
        <w:pStyle w:val="SourceCode"/>
      </w:pPr>
      <w:r>
        <w:rPr>
          <w:rStyle w:val="VerbatimChar"/>
        </w:rPr>
        <w:t xml:space="preserve">     1 .  regress std_log_displaced severity std_log_affected std_log_duration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 Source |       SS       df       MS              Number of obs =    3034</w:t>
      </w:r>
      <w:r>
        <w:br w:type="textWrapping"/>
      </w:r>
      <w:r>
        <w:rPr>
          <w:rStyle w:val="VerbatimChar"/>
        </w:rPr>
        <w:t xml:space="preserve">      -------------+------------------------------           F(  3,  3030) =  239.40</w:t>
      </w:r>
      <w:r>
        <w:br w:type="textWrapping"/>
      </w:r>
      <w:r>
        <w:rPr>
          <w:rStyle w:val="VerbatimChar"/>
        </w:rPr>
        <w:t xml:space="preserve">             Model |  581.158345     3  193.719448           Prob &gt; F      =  0.0000</w:t>
      </w:r>
      <w:r>
        <w:br w:type="textWrapping"/>
      </w:r>
      <w:r>
        <w:rPr>
          <w:rStyle w:val="VerbatimChar"/>
        </w:rPr>
        <w:t xml:space="preserve">          Residual |  2451.84164  3030  .809188658           R-squared     =  0.1916</w:t>
      </w:r>
      <w:r>
        <w:br w:type="textWrapping"/>
      </w:r>
      <w:r>
        <w:rPr>
          <w:rStyle w:val="VerbatimChar"/>
        </w:rPr>
        <w:t xml:space="preserve">      -------------+------------------------------           Adj R-squared =  0.1908</w:t>
      </w:r>
      <w:r>
        <w:br w:type="textWrapping"/>
      </w:r>
      <w:r>
        <w:rPr>
          <w:rStyle w:val="VerbatimChar"/>
        </w:rPr>
        <w:t xml:space="preserve">             Total |  3032.99998  3033  .999999994           Root MSE      =  .89955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std_log_displa~d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severity |   .1240879   .0421517     2.94   0.003     .0414392    .2067367</w:t>
      </w:r>
      <w:r>
        <w:br w:type="textWrapping"/>
      </w:r>
      <w:r>
        <w:rPr>
          <w:rStyle w:val="VerbatimChar"/>
        </w:rPr>
        <w:t xml:space="preserve">      std_log_affected |   .1801437   .0188169     9.57   0.000     .1432485     .217039</w:t>
      </w:r>
      <w:r>
        <w:br w:type="textWrapping"/>
      </w:r>
      <w:r>
        <w:rPr>
          <w:rStyle w:val="VerbatimChar"/>
        </w:rPr>
        <w:t xml:space="preserve">      std_log_duration |   .3070196   .0184443    16.65   0.000     .2708549    .3431842</w:t>
      </w:r>
      <w:r>
        <w:br w:type="textWrapping"/>
      </w:r>
      <w:r>
        <w:rPr>
          <w:rStyle w:val="VerbatimChar"/>
        </w:rPr>
        <w:t xml:space="preserve">                 _cons |  -.2192853   .0545864    -4.02   0.000    -.3263154   -.1122551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Check assumptions of linear regression:</w:t>
      </w:r>
    </w:p>
    <w:p>
      <w:pPr>
        <w:pStyle w:val="Compact"/>
        <w:numPr>
          <w:numId w:val="1005"/>
          <w:ilvl w:val="0"/>
        </w:numPr>
      </w:pPr>
      <w:r>
        <w:t xml:space="preserve">Assumption of normality of residuals appears satisfied.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_kernel_den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Assumption of homoscedasticity of residuals appears satisfied.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omoscedastic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7"/>
          <w:ilvl w:val="0"/>
        </w:numPr>
      </w:pPr>
      <w:r>
        <w:t xml:space="preserve">No evidence of significant collinearity (VIF &lt;10).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2 .  vif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Variable |       VIF       1/VIF  </w:t>
      </w:r>
      <w:r>
        <w:br w:type="textWrapping"/>
      </w:r>
      <w:r>
        <w:rPr>
          <w:rStyle w:val="VerbatimChar"/>
        </w:rPr>
        <w:t xml:space="preserve">  -------------+----------------------</w:t>
      </w:r>
      <w:r>
        <w:br w:type="textWrapping"/>
      </w:r>
      <w:r>
        <w:rPr>
          <w:rStyle w:val="VerbatimChar"/>
        </w:rPr>
        <w:t xml:space="preserve">  std_log_du~n |      1.30    0.766732</w:t>
      </w:r>
      <w:r>
        <w:br w:type="textWrapping"/>
      </w:r>
      <w:r>
        <w:rPr>
          <w:rStyle w:val="VerbatimChar"/>
        </w:rPr>
        <w:t xml:space="preserve">  std_log_af~d |      1.29    0.774600</w:t>
      </w:r>
      <w:r>
        <w:br w:type="textWrapping"/>
      </w:r>
      <w:r>
        <w:rPr>
          <w:rStyle w:val="VerbatimChar"/>
        </w:rPr>
        <w:t xml:space="preserve">      severity |      1.06    0.945632</w:t>
      </w:r>
      <w:r>
        <w:br w:type="textWrapping"/>
      </w:r>
      <w:r>
        <w:rPr>
          <w:rStyle w:val="VerbatimChar"/>
        </w:rPr>
        <w:t xml:space="preserve">  -------------+----------------------</w:t>
      </w:r>
      <w:r>
        <w:br w:type="textWrapping"/>
      </w:r>
      <w:r>
        <w:rPr>
          <w:rStyle w:val="VerbatimChar"/>
        </w:rPr>
        <w:t xml:space="preserve">      Mean VIF |      1.22</w:t>
      </w:r>
    </w:p>
    <w:p>
      <w:pPr>
        <w:numPr>
          <w:numId w:val="1007"/>
          <w:ilvl w:val="0"/>
        </w:numPr>
      </w:pPr>
      <w:r>
        <w:t xml:space="preserve">Assumption of linearity appears satisfied.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inearity_sever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inearity_affec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inearity_du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perform-principal-components-analysis-on-affected-severity-and-duration"/>
      <w:bookmarkEnd w:id="35"/>
      <w:r>
        <w:t xml:space="preserve">4. Perform principal components analysis on</w:t>
      </w:r>
      <w:r>
        <w:t xml:space="preserve"> </w:t>
      </w:r>
      <w:r>
        <w:t xml:space="preserve">“</w:t>
      </w:r>
      <w:r>
        <w:t xml:space="preserve">affected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severity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duration</w:t>
      </w:r>
      <w:r>
        <w:t xml:space="preserve">”</w:t>
      </w:r>
    </w:p>
    <w:p>
      <w:pPr>
        <w:pStyle w:val="FirstParagraph"/>
      </w:pPr>
      <w:r>
        <w:t xml:space="preserve">Estimate principal components.</w:t>
      </w:r>
    </w:p>
    <w:p>
      <w:pPr>
        <w:pStyle w:val="SourceCode"/>
      </w:pPr>
      <w:r>
        <w:rPr>
          <w:rStyle w:val="VerbatimChar"/>
        </w:rPr>
        <w:t xml:space="preserve">     3 .  pca severity std_log_affected std_log_duration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Principal components/correlation                  Number of obs    =      4312</w:t>
      </w:r>
      <w:r>
        <w:br w:type="textWrapping"/>
      </w:r>
      <w:r>
        <w:rPr>
          <w:rStyle w:val="VerbatimChar"/>
        </w:rPr>
        <w:t xml:space="preserve">                                                        Number of comp.  =         3</w:t>
      </w:r>
      <w:r>
        <w:br w:type="textWrapping"/>
      </w:r>
      <w:r>
        <w:rPr>
          <w:rStyle w:val="VerbatimChar"/>
        </w:rPr>
        <w:t xml:space="preserve">                                                        Trace            =         3</w:t>
      </w:r>
      <w:r>
        <w:br w:type="textWrapping"/>
      </w:r>
      <w:r>
        <w:rPr>
          <w:rStyle w:val="VerbatimChar"/>
        </w:rPr>
        <w:t xml:space="preserve">          Rotation: (unrotated = principal)             Rho              =    1.0000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Component |   Eigenvalue   Difference         Proportion   Cumulative</w:t>
      </w:r>
      <w:r>
        <w:br w:type="textWrapping"/>
      </w:r>
      <w:r>
        <w:rPr>
          <w:rStyle w:val="VerbatimChar"/>
        </w:rPr>
        <w:t xml:space="preserve">          -------------+------------------------------------------------------------</w:t>
      </w:r>
      <w:r>
        <w:br w:type="textWrapping"/>
      </w:r>
      <w:r>
        <w:rPr>
          <w:rStyle w:val="VerbatimChar"/>
        </w:rPr>
        <w:t xml:space="preserve">                 Comp1 |      1.58649      .701889             0.5288       0.5288</w:t>
      </w:r>
      <w:r>
        <w:br w:type="textWrapping"/>
      </w:r>
      <w:r>
        <w:rPr>
          <w:rStyle w:val="VerbatimChar"/>
        </w:rPr>
        <w:t xml:space="preserve">                 Comp2 |      .884599      .355685             0.2949       0.8237</w:t>
      </w:r>
      <w:r>
        <w:br w:type="textWrapping"/>
      </w:r>
      <w:r>
        <w:rPr>
          <w:rStyle w:val="VerbatimChar"/>
        </w:rPr>
        <w:t xml:space="preserve">                 Comp3 |      .528914            .             0.1763       1.0000</w:t>
      </w:r>
      <w:r>
        <w:br w:type="textWrapping"/>
      </w:r>
      <w:r>
        <w:rPr>
          <w:rStyle w:val="VerbatimChar"/>
        </w:rPr>
        <w:t xml:space="preserve">          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Principal components (eigenvectors)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----------------------------------------------------------</w:t>
      </w:r>
      <w:r>
        <w:br w:type="textWrapping"/>
      </w:r>
      <w:r>
        <w:rPr>
          <w:rStyle w:val="VerbatimChar"/>
        </w:rPr>
        <w:t xml:space="preserve">              Variable |    Comp1     Comp2     Comp3 | Unexplained </w:t>
      </w:r>
      <w:r>
        <w:br w:type="textWrapping"/>
      </w:r>
      <w:r>
        <w:rPr>
          <w:rStyle w:val="VerbatimChar"/>
        </w:rPr>
        <w:t xml:space="preserve">          -------------+------------------------------+-------------</w:t>
      </w:r>
      <w:r>
        <w:br w:type="textWrapping"/>
      </w:r>
      <w:r>
        <w:rPr>
          <w:rStyle w:val="VerbatimChar"/>
        </w:rPr>
        <w:t xml:space="preserve">              severity |   0.4067    0.9125    0.0443 |           0 </w:t>
      </w:r>
      <w:r>
        <w:br w:type="textWrapping"/>
      </w:r>
      <w:r>
        <w:rPr>
          <w:rStyle w:val="VerbatimChar"/>
        </w:rPr>
        <w:t xml:space="preserve">          std_log_af~d |   0.6412   -0.3196    0.6977 |           0 </w:t>
      </w:r>
      <w:r>
        <w:br w:type="textWrapping"/>
      </w:r>
      <w:r>
        <w:rPr>
          <w:rStyle w:val="VerbatimChar"/>
        </w:rPr>
        <w:t xml:space="preserve">          std_log_du~n |   0.6508   -0.2554   -0.7150 |           0 </w:t>
      </w:r>
      <w:r>
        <w:br w:type="textWrapping"/>
      </w:r>
      <w:r>
        <w:rPr>
          <w:rStyle w:val="VerbatimChar"/>
        </w:rPr>
        <w:t xml:space="preserve">          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Component 1 explains ~53% of variance, so compute score of that component (pc1) and regress on</w:t>
      </w:r>
      <w:r>
        <w:t xml:space="preserve"> </w:t>
      </w:r>
      <w:r>
        <w:t xml:space="preserve">that alone.</w:t>
      </w:r>
    </w:p>
    <w:p>
      <w:pPr>
        <w:pStyle w:val="BodyText"/>
      </w:pPr>
      <w:r>
        <w:t xml:space="preserve">As seen, model R2 is similar to earlier model with separate terms for</w:t>
      </w:r>
      <w:r>
        <w:t xml:space="preserve"> </w:t>
      </w:r>
      <w:r>
        <w:t xml:space="preserve">“</w:t>
      </w:r>
      <w:r>
        <w:t xml:space="preserve">magnitude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duration</w:t>
      </w:r>
      <w:r>
        <w:t xml:space="preserve">”</w:t>
      </w:r>
      <w:r>
        <w:t xml:space="preserve"> </w:t>
      </w:r>
      <w:r>
        <w:t xml:space="preserve">(R2 ~0.18 versus ~0.19).</w:t>
      </w:r>
    </w:p>
    <w:p>
      <w:pPr>
        <w:pStyle w:val="SourceCode"/>
      </w:pPr>
      <w:r>
        <w:rPr>
          <w:rStyle w:val="VerbatimChar"/>
        </w:rPr>
        <w:t xml:space="preserve">     4 .  regress std_log_displaced pc1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 Source |       SS       df       MS              Number of obs =    3034</w:t>
      </w:r>
      <w:r>
        <w:br w:type="textWrapping"/>
      </w:r>
      <w:r>
        <w:rPr>
          <w:rStyle w:val="VerbatimChar"/>
        </w:rPr>
        <w:t xml:space="preserve">      -------------+------------------------------           F(  1,  3032) =  660.36</w:t>
      </w:r>
      <w:r>
        <w:br w:type="textWrapping"/>
      </w:r>
      <w:r>
        <w:rPr>
          <w:rStyle w:val="VerbatimChar"/>
        </w:rPr>
        <w:t xml:space="preserve">             Model |  542.436732     1  542.436732           Prob &gt; F      =  0.0000</w:t>
      </w:r>
      <w:r>
        <w:br w:type="textWrapping"/>
      </w:r>
      <w:r>
        <w:rPr>
          <w:rStyle w:val="VerbatimChar"/>
        </w:rPr>
        <w:t xml:space="preserve">          Residual |  2490.56325  3032  .821425874           R-squared     =  0.1788</w:t>
      </w:r>
      <w:r>
        <w:br w:type="textWrapping"/>
      </w:r>
      <w:r>
        <w:rPr>
          <w:rStyle w:val="VerbatimChar"/>
        </w:rPr>
        <w:t xml:space="preserve">      -------------+------------------------------           Adj R-squared =  0.1786</w:t>
      </w:r>
      <w:r>
        <w:br w:type="textWrapping"/>
      </w:r>
      <w:r>
        <w:rPr>
          <w:rStyle w:val="VerbatimChar"/>
        </w:rPr>
        <w:t xml:space="preserve">             Total |  3032.99998  3033  .999999994           Root MSE      =  .90633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std_log_di~d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 pc1 |   .3320503   .0129215    25.70   0.000     .3067145    .3573861</w:t>
      </w:r>
      <w:r>
        <w:br w:type="textWrapping"/>
      </w:r>
      <w:r>
        <w:rPr>
          <w:rStyle w:val="VerbatimChar"/>
        </w:rPr>
        <w:t xml:space="preserve">             _cons |  -.0640488   .0166419    -3.85   0.000    -.0966794   -.0314183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Regression model with</w:t>
      </w:r>
      <w:r>
        <w:t xml:space="preserve"> </w:t>
      </w:r>
      <w:r>
        <w:t xml:space="preserve">“</w:t>
      </w:r>
      <w:r>
        <w:t xml:space="preserve">pc1</w:t>
      </w:r>
      <w:r>
        <w:t xml:space="preserve">”</w:t>
      </w:r>
      <w:r>
        <w:t xml:space="preserve"> </w:t>
      </w:r>
      <w:r>
        <w:t xml:space="preserve">appears to be equal to or superior R2 to regression models with</w:t>
      </w:r>
      <w:r>
        <w:t xml:space="preserve"> </w:t>
      </w:r>
      <w:r>
        <w:t xml:space="preserve">“</w:t>
      </w:r>
      <w:r>
        <w:t xml:space="preserve">du</w:t>
      </w:r>
      <w:r>
        <w:t xml:space="preserve"> </w:t>
      </w:r>
      <w:r>
        <w:t xml:space="preserve">ration</w:t>
      </w:r>
      <w:r>
        <w:t xml:space="preserve">”</w:t>
      </w:r>
      <w:r>
        <w:t xml:space="preserve"> </w:t>
      </w:r>
      <w:r>
        <w:t xml:space="preserve">alone or</w:t>
      </w:r>
      <w:r>
        <w:t xml:space="preserve"> </w:t>
      </w:r>
      <w:r>
        <w:t xml:space="preserve">“</w:t>
      </w:r>
      <w:r>
        <w:t xml:space="preserve">magnitude</w:t>
      </w:r>
      <w:r>
        <w:t xml:space="preserve">”</w:t>
      </w:r>
      <w:r>
        <w:t xml:space="preserve"> </w:t>
      </w:r>
      <w:r>
        <w:t xml:space="preserve">alone.</w:t>
      </w:r>
    </w:p>
    <w:p>
      <w:pPr>
        <w:pStyle w:val="SourceCode"/>
      </w:pPr>
      <w:r>
        <w:rPr>
          <w:rStyle w:val="VerbatimChar"/>
        </w:rPr>
        <w:t xml:space="preserve">     5 .  regress std_log_displaced severity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 Source |       SS       df       MS              Number of obs =    3034</w:t>
      </w:r>
      <w:r>
        <w:br w:type="textWrapping"/>
      </w:r>
      <w:r>
        <w:rPr>
          <w:rStyle w:val="VerbatimChar"/>
        </w:rPr>
        <w:t xml:space="preserve">      -------------+------------------------------           F(  1,  3032) =   67.93</w:t>
      </w:r>
      <w:r>
        <w:br w:type="textWrapping"/>
      </w:r>
      <w:r>
        <w:rPr>
          <w:rStyle w:val="VerbatimChar"/>
        </w:rPr>
        <w:t xml:space="preserve">             Model |  66.4655162     1  66.4655162           Prob &gt; F      =  0.0000</w:t>
      </w:r>
      <w:r>
        <w:br w:type="textWrapping"/>
      </w:r>
      <w:r>
        <w:rPr>
          <w:rStyle w:val="VerbatimChar"/>
        </w:rPr>
        <w:t xml:space="preserve">          Residual |  2966.53446  3032  .978408464           R-squared     =  0.0219</w:t>
      </w:r>
      <w:r>
        <w:br w:type="textWrapping"/>
      </w:r>
      <w:r>
        <w:rPr>
          <w:rStyle w:val="VerbatimChar"/>
        </w:rPr>
        <w:t xml:space="preserve">      -------------+------------------------------           Adj R-squared =  0.0216</w:t>
      </w:r>
      <w:r>
        <w:br w:type="textWrapping"/>
      </w:r>
      <w:r>
        <w:rPr>
          <w:rStyle w:val="VerbatimChar"/>
        </w:rPr>
        <w:t xml:space="preserve">             Total |  3032.99998  3033  .999999994           Root MSE      =  .98915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std_log_di~d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    severity |   .3714916   .0450724     8.24   0.000      .283116    .4598672</w:t>
      </w:r>
      <w:r>
        <w:br w:type="textWrapping"/>
      </w:r>
      <w:r>
        <w:rPr>
          <w:rStyle w:val="VerbatimChar"/>
        </w:rPr>
        <w:t xml:space="preserve">             _cons |  -.4636299   .0590483    -7.85   0.000    -.5794086   -.3478511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6 . regress std_log_displaced std_log_affected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 Source |       SS       df       MS              Number of obs =    3034</w:t>
      </w:r>
      <w:r>
        <w:br w:type="textWrapping"/>
      </w:r>
      <w:r>
        <w:rPr>
          <w:rStyle w:val="VerbatimChar"/>
        </w:rPr>
        <w:t xml:space="preserve">      -------------+------------------------------           F(  1,  3032) =  374.66</w:t>
      </w:r>
      <w:r>
        <w:br w:type="textWrapping"/>
      </w:r>
      <w:r>
        <w:rPr>
          <w:rStyle w:val="VerbatimChar"/>
        </w:rPr>
        <w:t xml:space="preserve">             Model |  333.563804     1  333.563804           Prob &gt; F      =  0.0000</w:t>
      </w:r>
      <w:r>
        <w:br w:type="textWrapping"/>
      </w:r>
      <w:r>
        <w:rPr>
          <w:rStyle w:val="VerbatimChar"/>
        </w:rPr>
        <w:t xml:space="preserve">          Residual |  2699.43618  3032  .890315361           R-squared     =  0.1100</w:t>
      </w:r>
      <w:r>
        <w:br w:type="textWrapping"/>
      </w:r>
      <w:r>
        <w:rPr>
          <w:rStyle w:val="VerbatimChar"/>
        </w:rPr>
        <w:t xml:space="preserve">      -------------+------------------------------           Adj R-squared =  0.1097</w:t>
      </w:r>
      <w:r>
        <w:br w:type="textWrapping"/>
      </w:r>
      <w:r>
        <w:rPr>
          <w:rStyle w:val="VerbatimChar"/>
        </w:rPr>
        <w:t xml:space="preserve">             Total |  3032.99998  3033  .999999994           Root MSE      =  .94357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std_log_displa~d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std_log_affected |   .3362418   .0173714    19.36   0.000     .3021809    .3703027</w:t>
      </w:r>
      <w:r>
        <w:br w:type="textWrapping"/>
      </w:r>
      <w:r>
        <w:rPr>
          <w:rStyle w:val="VerbatimChar"/>
        </w:rPr>
        <w:t xml:space="preserve">                 _cons |  -.0289544   .0171955    -1.68   0.092    -.0626704    .0047615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7 . regress std_log_displaced std_log_duration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 Source |       SS       df       MS              Number of obs =    3034</w:t>
      </w:r>
      <w:r>
        <w:br w:type="textWrapping"/>
      </w:r>
      <w:r>
        <w:rPr>
          <w:rStyle w:val="VerbatimChar"/>
        </w:rPr>
        <w:t xml:space="preserve">      -------------+------------------------------           F(  1,  3032) =  590.56</w:t>
      </w:r>
      <w:r>
        <w:br w:type="textWrapping"/>
      </w:r>
      <w:r>
        <w:rPr>
          <w:rStyle w:val="VerbatimChar"/>
        </w:rPr>
        <w:t xml:space="preserve">             Model |  494.448928     1  494.448928           Prob &gt; F      =  0.0000</w:t>
      </w:r>
      <w:r>
        <w:br w:type="textWrapping"/>
      </w:r>
      <w:r>
        <w:rPr>
          <w:rStyle w:val="VerbatimChar"/>
        </w:rPr>
        <w:t xml:space="preserve">          Residual |  2538.55105  3032  .837252986           R-squared     =  0.1630</w:t>
      </w:r>
      <w:r>
        <w:br w:type="textWrapping"/>
      </w:r>
      <w:r>
        <w:rPr>
          <w:rStyle w:val="VerbatimChar"/>
        </w:rPr>
        <w:t xml:space="preserve">      -------------+------------------------------           Adj R-squared =  0.1627</w:t>
      </w:r>
      <w:r>
        <w:br w:type="textWrapping"/>
      </w:r>
      <w:r>
        <w:rPr>
          <w:rStyle w:val="VerbatimChar"/>
        </w:rPr>
        <w:t xml:space="preserve">             Total |  3032.99998  3033  .999999994           Root MSE      =  .91502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std_log_displa~d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std_log_duration |   .3992275   .0164281    24.30   0.000     .3670161    .4314389</w:t>
      </w:r>
      <w:r>
        <w:br w:type="textWrapping"/>
      </w:r>
      <w:r>
        <w:rPr>
          <w:rStyle w:val="VerbatimChar"/>
        </w:rPr>
        <w:t xml:space="preserve">                 _cons |   -.063597   .0168168    -3.78   0.000    -.0965705   -.0306235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Check assumptions of linear regression for model with principal component alone:</w:t>
      </w:r>
    </w:p>
    <w:p>
      <w:pPr>
        <w:pStyle w:val="Compact"/>
        <w:numPr>
          <w:numId w:val="1008"/>
          <w:ilvl w:val="0"/>
        </w:numPr>
      </w:pPr>
      <w:r>
        <w:t xml:space="preserve">Assumption of normality of residuals appears satisfied.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_kernel_densit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Assumption of homoscedasticity of residuals appears satisfied.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omoscedasticit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No evidence of significant collinearity (VIF &lt;10).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8 .  vif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Variable |       VIF       1/VIF  </w:t>
      </w:r>
      <w:r>
        <w:br w:type="textWrapping"/>
      </w:r>
      <w:r>
        <w:rPr>
          <w:rStyle w:val="VerbatimChar"/>
        </w:rPr>
        <w:t xml:space="preserve">  -------------+----------------------</w:t>
      </w:r>
      <w:r>
        <w:br w:type="textWrapping"/>
      </w:r>
      <w:r>
        <w:rPr>
          <w:rStyle w:val="VerbatimChar"/>
        </w:rPr>
        <w:t xml:space="preserve">           pc1 |      1.00    1.000000</w:t>
      </w:r>
      <w:r>
        <w:br w:type="textWrapping"/>
      </w:r>
      <w:r>
        <w:rPr>
          <w:rStyle w:val="VerbatimChar"/>
        </w:rPr>
        <w:t xml:space="preserve">  -------------+----------------------</w:t>
      </w:r>
      <w:r>
        <w:br w:type="textWrapping"/>
      </w:r>
      <w:r>
        <w:rPr>
          <w:rStyle w:val="VerbatimChar"/>
        </w:rPr>
        <w:t xml:space="preserve">      Mean VIF |      1.00</w:t>
      </w:r>
    </w:p>
    <w:p>
      <w:pPr>
        <w:numPr>
          <w:numId w:val="1010"/>
          <w:ilvl w:val="0"/>
        </w:numPr>
      </w:pPr>
      <w:r>
        <w:t xml:space="preserve">Assumption of linearity appears satisfied.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inearity_p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visually-assess-relationship-between-multiple-flood-characteristics-and-displaced"/>
      <w:bookmarkEnd w:id="39"/>
      <w:r>
        <w:t xml:space="preserve">5. Visually assess relationship between multiple flood characteristics and # displaced</w:t>
      </w:r>
    </w:p>
    <w:p>
      <w:pPr>
        <w:pStyle w:val="FirstParagraph"/>
      </w:pPr>
      <w:r>
        <w:t xml:space="preserve">Such a visualization would be difficult to perform with traditional linear regression in the pr</w:t>
      </w:r>
      <w:r>
        <w:t xml:space="preserve"> </w:t>
      </w:r>
      <w:r>
        <w:t xml:space="preserve">esence of multiple independent variables.</w:t>
      </w:r>
    </w:p>
    <w:p>
      <w:pPr>
        <w:pStyle w:val="Figure"/>
      </w:pPr>
      <w:r>
        <w:drawing>
          <wp:inline>
            <wp:extent cx="5969000" cy="43393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summmary"/>
      <w:bookmarkEnd w:id="41"/>
      <w:r>
        <w:t xml:space="preserve">6. Summmary</w:t>
      </w:r>
    </w:p>
    <w:p>
      <w:pPr>
        <w:pStyle w:val="FirstParagraph"/>
      </w:pPr>
      <w:r>
        <w:t xml:space="preserve">Principal components analysis allowed dimension reduction to one dimension, thereby allowing di</w:t>
      </w:r>
      <w:r>
        <w:t xml:space="preserve"> </w:t>
      </w:r>
      <w:r>
        <w:t xml:space="preserve">rect visualization.</w:t>
      </w:r>
    </w:p>
    <w:p>
      <w:pPr>
        <w:pStyle w:val="BodyText"/>
      </w:pPr>
      <w:r>
        <w:t xml:space="preserve">Prediction using one principal component was equally predictive as regression limited to one tr</w:t>
      </w:r>
      <w:r>
        <w:t xml:space="preserve"> </w:t>
      </w:r>
      <w:r>
        <w:t xml:space="preserve">aditional independent variable</w:t>
      </w:r>
      <w:r>
        <w:t xml:space="preserve"> </w:t>
      </w:r>
      <w:r>
        <w:t xml:space="preserve">and additionally allowed direct visualization between predictor and outcome. However, the disad</w:t>
      </w:r>
      <w:r>
        <w:t xml:space="preserve"> </w:t>
      </w:r>
      <w:r>
        <w:t xml:space="preserve">vantage of this approach is that</w:t>
      </w:r>
      <w:r>
        <w:t xml:space="preserve"> </w:t>
      </w:r>
      <w:r>
        <w:t xml:space="preserve">the first principal component is more difficult to conceptually understand than a traditional p</w:t>
      </w:r>
      <w:r>
        <w:t xml:space="preserve"> </w:t>
      </w:r>
      <w:r>
        <w:t xml:space="preserve">redictor such as severity.</w:t>
      </w:r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e9c50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3d12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