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4j8fqnfz8pvc" w:id="0"/>
      <w:bookmarkEnd w:id="0"/>
      <w:r w:rsidDel="00000000" w:rsidR="00000000" w:rsidRPr="00000000">
        <w:rPr>
          <w:sz w:val="34"/>
          <w:szCs w:val="34"/>
          <w:rtl w:val="0"/>
        </w:rPr>
        <w:t xml:space="preserve">1. Escopo Tecnológico e Integrações (OPENIMIS e OLIMPIA)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mitigar riscos de compatibilidade, a gente concorda em manter a stack compatível com o ecossistema OPENIMIS, mas sem realizar a liberação/deploy para este ambiente no MVP.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Simplificação N9 e N13</w:t>
      </w:r>
      <w:r w:rsidDel="00000000" w:rsidR="00000000" w:rsidRPr="00000000">
        <w:rPr>
          <w:rtl w:val="0"/>
        </w:rPr>
        <w:t xml:space="preserve">: Concordamos que, para a aplicação (Hammer), o importante é o </w:t>
      </w:r>
      <w:r w:rsidDel="00000000" w:rsidR="00000000" w:rsidRPr="00000000">
        <w:rPr>
          <w:b w:val="1"/>
          <w:bCs w:val="1"/>
          <w:rtl w:val="0"/>
        </w:rPr>
        <w:t xml:space="preserve">ponto de integração</w:t>
      </w:r>
      <w:r w:rsidDel="00000000" w:rsidR="00000000" w:rsidRPr="00000000">
        <w:rPr>
          <w:rtl w:val="0"/>
        </w:rPr>
        <w:t xml:space="preserve">. Se as APIs de Visão (Perseu) e NLP (Sofia) residem no OLIMPIA, trataremos isso como um consumo de serviço unificado via gateway.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Protocolos</w:t>
      </w:r>
      <w:r w:rsidDel="00000000" w:rsidR="00000000" w:rsidRPr="00000000">
        <w:rPr>
          <w:rtl w:val="0"/>
        </w:rPr>
        <w:t xml:space="preserve">: Garantiremos o suporte a REST e GraphQL na camada de aplicação para que a Hammer possa consumir o que o time de IA disponibilizar de forma flexível.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u3nzprwd3bpf" w:id="1"/>
      <w:bookmarkEnd w:id="1"/>
      <w:r w:rsidDel="00000000" w:rsidR="00000000" w:rsidRPr="00000000">
        <w:rPr>
          <w:sz w:val="34"/>
          <w:szCs w:val="34"/>
          <w:rtl w:val="0"/>
        </w:rPr>
        <w:t xml:space="preserve">2. Fluxo Operacional: Câmera vs. Galeria (F1.1)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Fernanda questionou a possibilidade de usar fotos da galeria.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Posicionamento Hammer</w:t>
      </w:r>
      <w:r w:rsidDel="00000000" w:rsidR="00000000" w:rsidRPr="00000000">
        <w:rPr>
          <w:rtl w:val="0"/>
        </w:rPr>
        <w:t xml:space="preserve">: Para o MVP, recomendamos </w:t>
      </w:r>
      <w:r w:rsidDel="00000000" w:rsidR="00000000" w:rsidRPr="00000000">
        <w:rPr>
          <w:b w:val="1"/>
          <w:bCs w:val="1"/>
          <w:rtl w:val="0"/>
        </w:rPr>
        <w:t xml:space="preserve">apenas a captura via câmera nativa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Risco</w:t>
      </w:r>
      <w:r w:rsidDel="00000000" w:rsidR="00000000" w:rsidRPr="00000000">
        <w:rPr>
          <w:rtl w:val="0"/>
        </w:rPr>
        <w:t xml:space="preserve">: Liberar a galeria traz riscos de segurança, arquivos corrompidos e falta de metadados de geolocalização confiáveis (GPS), que são críticos para a validade da inspeção.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sfhzsce8gh3g" w:id="2"/>
      <w:bookmarkEnd w:id="2"/>
      <w:r w:rsidDel="00000000" w:rsidR="00000000" w:rsidRPr="00000000">
        <w:rPr>
          <w:sz w:val="34"/>
          <w:szCs w:val="34"/>
          <w:rtl w:val="0"/>
        </w:rPr>
        <w:t xml:space="preserve">3. Inteligência Artificial e "Human-in-the-Loop"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Hammer entende a </w:t>
      </w:r>
      <w:r w:rsidDel="00000000" w:rsidR="00000000" w:rsidRPr="00000000">
        <w:rPr>
          <w:b w:val="1"/>
          <w:bCs w:val="1"/>
          <w:rtl w:val="0"/>
        </w:rPr>
        <w:t xml:space="preserve">Validação Humana</w:t>
      </w:r>
      <w:r w:rsidDel="00000000" w:rsidR="00000000" w:rsidRPr="00000000">
        <w:rPr>
          <w:rtl w:val="0"/>
        </w:rPr>
        <w:t xml:space="preserve"> como uma funcionalidade central da interface web.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Feedback Loop</w:t>
      </w:r>
      <w:r w:rsidDel="00000000" w:rsidR="00000000" w:rsidRPr="00000000">
        <w:rPr>
          <w:rtl w:val="0"/>
        </w:rPr>
        <w:t xml:space="preserve">: A Hammer desenvolverá a interface para que o especialista possa revisar e corrigir as inferências da IA (CONFORME/NÃO CONFORME). Esses dados corrigidos serão devolvidos via API para que o time da Dataprev possa realizar o </w:t>
      </w:r>
      <w:r w:rsidDel="00000000" w:rsidR="00000000" w:rsidRPr="00000000">
        <w:rPr>
          <w:i w:val="1"/>
          <w:iCs w:val="1"/>
          <w:rtl w:val="0"/>
        </w:rPr>
        <w:t xml:space="preserve">Fine-tuning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i w:val="1"/>
          <w:iCs w:val="1"/>
          <w:rtl w:val="0"/>
        </w:rPr>
        <w:t xml:space="preserve">RLHF</w:t>
      </w:r>
      <w:r w:rsidDel="00000000" w:rsidR="00000000" w:rsidRPr="00000000">
        <w:rPr>
          <w:rtl w:val="0"/>
        </w:rPr>
        <w:t xml:space="preserve"> dos modelos.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Descrição Semântica (F2.2)</w:t>
      </w:r>
      <w:r w:rsidDel="00000000" w:rsidR="00000000" w:rsidRPr="00000000">
        <w:rPr>
          <w:rtl w:val="0"/>
        </w:rPr>
        <w:t xml:space="preserve">: Como Fernanda mencionou que isso é útil para a IA, mas talvez não para o usuário final, a Hammer tratará essa informação como um "metadado de apoio" na tela de validação, sem obrigatoriedade de exibição no relatório final, a menos que solicitado.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no7dswh11n0g" w:id="3"/>
      <w:bookmarkEnd w:id="3"/>
      <w:r w:rsidDel="00000000" w:rsidR="00000000" w:rsidRPr="00000000">
        <w:rPr>
          <w:sz w:val="34"/>
          <w:szCs w:val="34"/>
          <w:rtl w:val="0"/>
        </w:rPr>
        <w:t xml:space="preserve">4. Tratamento de Imagens, Blur e Guardrails (F2.1)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Blur/Anonimização</w:t>
      </w:r>
      <w:r w:rsidDel="00000000" w:rsidR="00000000" w:rsidRPr="00000000">
        <w:rPr>
          <w:rtl w:val="0"/>
        </w:rPr>
        <w:t xml:space="preserve">: A Hammer enviará a imagem original. O serviço de IA da Dataprev processará o blur e devolverá a imagem anonimizada para armazenamento e geração de relatórios.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Guardrails</w:t>
      </w:r>
      <w:r w:rsidDel="00000000" w:rsidR="00000000" w:rsidRPr="00000000">
        <w:rPr>
          <w:rtl w:val="0"/>
        </w:rPr>
        <w:t xml:space="preserve">: A aplicação Hammer notificará o usuário caso a IA rejeite a imagem por conteúdo inapropriado ou baixa qualidade, baseando-se estritamente no código de erro retornado pela API da Dataprev.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rPr/>
      </w:pPr>
      <w:bookmarkStart w:colFirst="0" w:colLast="0" w:name="_hdltcy5x1imn" w:id="4"/>
      <w:bookmarkEnd w:id="4"/>
      <w:r w:rsidDel="00000000" w:rsidR="00000000" w:rsidRPr="00000000">
        <w:rPr>
          <w:sz w:val="34"/>
          <w:szCs w:val="34"/>
          <w:rtl w:val="0"/>
        </w:rPr>
        <w:t xml:space="preserve">5. Performance e Assincronismo (F3.1 e F3.2)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Processamento Assíncrono</w:t>
      </w:r>
      <w:r w:rsidDel="00000000" w:rsidR="00000000" w:rsidRPr="00000000">
        <w:rPr>
          <w:rtl w:val="0"/>
        </w:rPr>
        <w:t xml:space="preserve">: Confirmamos que o envio é em lote e assíncrono. O usuário não ficará travado esperando a IA.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Geração de PDF</w:t>
      </w:r>
      <w:r w:rsidDel="00000000" w:rsidR="00000000" w:rsidRPr="00000000">
        <w:rPr>
          <w:rtl w:val="0"/>
        </w:rPr>
        <w:t xml:space="preserve">: O prazo de 15 segundos para o PDF deve ser contado </w:t>
      </w:r>
      <w:r w:rsidDel="00000000" w:rsidR="00000000" w:rsidRPr="00000000">
        <w:rPr>
          <w:b w:val="1"/>
          <w:bCs w:val="1"/>
          <w:rtl w:val="0"/>
        </w:rPr>
        <w:t xml:space="preserve">após</w:t>
      </w:r>
      <w:r w:rsidDel="00000000" w:rsidR="00000000" w:rsidRPr="00000000">
        <w:rPr>
          <w:rtl w:val="0"/>
        </w:rPr>
        <w:t xml:space="preserve"> o recebimento de todos os dados da IA. Se a API de IA demorar 30 segundos por imagem (conforme citado em F2.2), o tempo total de fechamento do relatório será a soma desses tempos.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