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876" w:rsidRDefault="00A87876" w:rsidP="001D236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8"/>
        <w:gridCol w:w="283"/>
      </w:tblGrid>
      <w:tr w:rsidR="00516DD8" w:rsidTr="00736255">
        <w:tc>
          <w:tcPr>
            <w:tcW w:w="10598" w:type="dxa"/>
            <w:shd w:val="clear" w:color="auto" w:fill="476BD6"/>
          </w:tcPr>
          <w:p w:rsidR="00516DD8" w:rsidRPr="00DA2DCA" w:rsidRDefault="00516DD8" w:rsidP="00CB6B73">
            <w:pPr>
              <w:pStyle w:val="Ttulo1"/>
              <w:outlineLvl w:val="0"/>
              <w:rPr>
                <w:color w:val="FFFFFF" w:themeColor="background1"/>
              </w:rPr>
            </w:pPr>
            <w:r w:rsidRPr="00DA2DCA">
              <w:rPr>
                <w:color w:val="FFFFFF" w:themeColor="background1"/>
              </w:rPr>
              <w:t xml:space="preserve">Módulo </w:t>
            </w:r>
            <w:r w:rsidR="009F1540">
              <w:rPr>
                <w:noProof/>
                <w:color w:val="FFFFFF" w:themeColor="background1"/>
                <w:lang w:eastAsia="es-AR"/>
              </w:rPr>
              <w:drawing>
                <wp:anchor distT="0" distB="0" distL="114300" distR="114300" simplePos="0" relativeHeight="251658240" behindDoc="0" locked="0" layoutInCell="1" allowOverlap="1" wp14:anchorId="1A8F3F1B" wp14:editId="0474C19C">
                  <wp:simplePos x="3000375" y="108585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376045" cy="1247775"/>
                  <wp:effectExtent l="0" t="0" r="0" b="0"/>
                  <wp:wrapSquare wrapText="bothSides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sletter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36255">
              <w:rPr>
                <w:color w:val="FFFFFF" w:themeColor="background1"/>
              </w:rPr>
              <w:t>Canje</w:t>
            </w:r>
            <w:r w:rsidR="005D5805">
              <w:rPr>
                <w:color w:val="FFFFFF" w:themeColor="background1"/>
              </w:rPr>
              <w:t xml:space="preserve"> en </w:t>
            </w:r>
            <w:proofErr w:type="spellStart"/>
            <w:r w:rsidR="005D5805">
              <w:rPr>
                <w:color w:val="FFFFFF" w:themeColor="background1"/>
              </w:rPr>
              <w:t>Solver</w:t>
            </w:r>
            <w:proofErr w:type="spellEnd"/>
            <w:r w:rsidR="004D3DE4">
              <w:rPr>
                <w:color w:val="FFFFFF" w:themeColor="background1"/>
              </w:rPr>
              <w:t xml:space="preserve"> Corretaje</w:t>
            </w:r>
          </w:p>
          <w:p w:rsidR="00516DD8" w:rsidRDefault="00516DD8" w:rsidP="00CB6B73">
            <w:pPr>
              <w:pStyle w:val="Ttulo2"/>
              <w:outlineLvl w:val="1"/>
              <w:rPr>
                <w:color w:val="FFFFFF" w:themeColor="background1"/>
              </w:rPr>
            </w:pPr>
            <w:r w:rsidRPr="00DA2DCA">
              <w:rPr>
                <w:color w:val="FFFFFF" w:themeColor="background1"/>
              </w:rPr>
              <w:t>En que consiste el Modulo</w:t>
            </w:r>
          </w:p>
          <w:p w:rsidR="005D5805" w:rsidRPr="005D5805" w:rsidRDefault="005D5805" w:rsidP="005D5805">
            <w:pPr>
              <w:rPr>
                <w:rStyle w:val="nfasis"/>
                <w:color w:val="D9D9D9" w:themeColor="background1" w:themeShade="D9"/>
              </w:rPr>
            </w:pPr>
            <w:r w:rsidRPr="005D5805">
              <w:rPr>
                <w:rStyle w:val="nfasis"/>
                <w:color w:val="D9D9D9" w:themeColor="background1" w:themeShade="D9"/>
              </w:rPr>
              <w:t>Este m</w:t>
            </w:r>
            <w:r w:rsidR="00736255">
              <w:rPr>
                <w:rStyle w:val="nfasis"/>
                <w:color w:val="D9D9D9" w:themeColor="background1" w:themeShade="D9"/>
              </w:rPr>
              <w:t>ó</w:t>
            </w:r>
            <w:bookmarkStart w:id="0" w:name="_GoBack"/>
            <w:bookmarkEnd w:id="0"/>
            <w:r w:rsidRPr="005D5805">
              <w:rPr>
                <w:rStyle w:val="nfasis"/>
                <w:color w:val="D9D9D9" w:themeColor="background1" w:themeShade="D9"/>
              </w:rPr>
              <w:t xml:space="preserve">dulo </w:t>
            </w:r>
            <w:r w:rsidR="004D3DE4">
              <w:rPr>
                <w:rStyle w:val="nfasis"/>
                <w:color w:val="D9D9D9" w:themeColor="background1" w:themeShade="D9"/>
              </w:rPr>
              <w:t xml:space="preserve">le </w:t>
            </w:r>
            <w:r w:rsidRPr="005D5805">
              <w:rPr>
                <w:rStyle w:val="nfasis"/>
                <w:color w:val="D9D9D9" w:themeColor="background1" w:themeShade="D9"/>
              </w:rPr>
              <w:t>permite</w:t>
            </w:r>
            <w:r w:rsidR="004D3DE4">
              <w:rPr>
                <w:rStyle w:val="nfasis"/>
                <w:color w:val="D9D9D9" w:themeColor="background1" w:themeShade="D9"/>
              </w:rPr>
              <w:t xml:space="preserve"> llevar</w:t>
            </w:r>
            <w:r w:rsidRPr="005D5805">
              <w:rPr>
                <w:rStyle w:val="nfasis"/>
                <w:color w:val="D9D9D9" w:themeColor="background1" w:themeShade="D9"/>
              </w:rPr>
              <w:t>:</w:t>
            </w:r>
          </w:p>
          <w:p w:rsidR="005D5805" w:rsidRPr="005D5805" w:rsidRDefault="005D5805" w:rsidP="005D5805"/>
          <w:p w:rsidR="005D5805" w:rsidRDefault="005D5805" w:rsidP="00736255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Style w:val="nfasis"/>
                <w:color w:val="D9D9D9" w:themeColor="background1" w:themeShade="D9"/>
              </w:rPr>
            </w:pPr>
            <w:r w:rsidRPr="00736255">
              <w:rPr>
                <w:rStyle w:val="nfasis"/>
                <w:color w:val="D9D9D9" w:themeColor="background1" w:themeShade="D9"/>
              </w:rPr>
              <w:t>Registro de los contratos primarios entre lo</w:t>
            </w:r>
            <w:r w:rsidR="00736255">
              <w:rPr>
                <w:rStyle w:val="nfasis"/>
                <w:color w:val="D9D9D9" w:themeColor="background1" w:themeShade="D9"/>
              </w:rPr>
              <w:t>s productores y los canjeadores</w:t>
            </w:r>
          </w:p>
          <w:p w:rsidR="00736255" w:rsidRPr="00736255" w:rsidRDefault="00736255" w:rsidP="00736255">
            <w:pPr>
              <w:pStyle w:val="Prrafodelista"/>
              <w:autoSpaceDE w:val="0"/>
              <w:autoSpaceDN w:val="0"/>
              <w:adjustRightInd w:val="0"/>
              <w:rPr>
                <w:rStyle w:val="nfasis"/>
                <w:color w:val="D9D9D9" w:themeColor="background1" w:themeShade="D9"/>
              </w:rPr>
            </w:pPr>
          </w:p>
          <w:p w:rsidR="005D5805" w:rsidRDefault="005D5805" w:rsidP="00736255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Style w:val="nfasis"/>
                <w:color w:val="D9D9D9" w:themeColor="background1" w:themeShade="D9"/>
              </w:rPr>
            </w:pPr>
            <w:r w:rsidRPr="00736255">
              <w:rPr>
                <w:rStyle w:val="nfasis"/>
                <w:color w:val="D9D9D9" w:themeColor="background1" w:themeShade="D9"/>
              </w:rPr>
              <w:t>Segunda aplicación primaria de las cartas de porte al contrato entre el productor y el canjeador</w:t>
            </w:r>
            <w:r w:rsidR="00736255">
              <w:rPr>
                <w:rStyle w:val="nfasis"/>
                <w:color w:val="D9D9D9" w:themeColor="background1" w:themeShade="D9"/>
              </w:rPr>
              <w:t xml:space="preserve"> sin necesidad de "duplicarlas"</w:t>
            </w:r>
          </w:p>
          <w:p w:rsidR="00736255" w:rsidRPr="00736255" w:rsidRDefault="00736255" w:rsidP="00736255">
            <w:pPr>
              <w:pStyle w:val="Prrafodelista"/>
              <w:rPr>
                <w:rStyle w:val="nfasis"/>
                <w:color w:val="D9D9D9" w:themeColor="background1" w:themeShade="D9"/>
              </w:rPr>
            </w:pPr>
          </w:p>
          <w:p w:rsidR="00736255" w:rsidRPr="00736255" w:rsidRDefault="00736255" w:rsidP="00736255">
            <w:pPr>
              <w:pStyle w:val="Prrafodelista"/>
              <w:autoSpaceDE w:val="0"/>
              <w:autoSpaceDN w:val="0"/>
              <w:adjustRightInd w:val="0"/>
              <w:rPr>
                <w:rStyle w:val="nfasis"/>
                <w:color w:val="D9D9D9" w:themeColor="background1" w:themeShade="D9"/>
              </w:rPr>
            </w:pPr>
          </w:p>
          <w:p w:rsidR="00736255" w:rsidRPr="00736255" w:rsidRDefault="005D5805" w:rsidP="005D5805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Style w:val="nfasis"/>
                <w:color w:val="D9D9D9" w:themeColor="background1" w:themeShade="D9"/>
              </w:rPr>
            </w:pPr>
            <w:r w:rsidRPr="00736255">
              <w:rPr>
                <w:rStyle w:val="nfasis"/>
                <w:color w:val="D9D9D9" w:themeColor="background1" w:themeShade="D9"/>
              </w:rPr>
              <w:t xml:space="preserve">Emisión de los certificados de depósito (F.1116A) con formularios de los </w:t>
            </w:r>
            <w:r w:rsidR="00736255" w:rsidRPr="00736255">
              <w:rPr>
                <w:rStyle w:val="nfasis"/>
                <w:color w:val="D9D9D9" w:themeColor="background1" w:themeShade="D9"/>
              </w:rPr>
              <w:t>Canjeadores</w:t>
            </w:r>
            <w:r w:rsidR="00736255">
              <w:rPr>
                <w:rStyle w:val="nfasis"/>
                <w:color w:val="D9D9D9" w:themeColor="background1" w:themeShade="D9"/>
              </w:rPr>
              <w:t xml:space="preserve"> </w:t>
            </w:r>
          </w:p>
          <w:p w:rsidR="00736255" w:rsidRPr="005D5805" w:rsidRDefault="00736255" w:rsidP="005D5805">
            <w:pPr>
              <w:autoSpaceDE w:val="0"/>
              <w:autoSpaceDN w:val="0"/>
              <w:adjustRightInd w:val="0"/>
              <w:rPr>
                <w:rStyle w:val="nfasis"/>
                <w:color w:val="D9D9D9" w:themeColor="background1" w:themeShade="D9"/>
              </w:rPr>
            </w:pPr>
          </w:p>
          <w:p w:rsidR="005D5805" w:rsidRPr="00736255" w:rsidRDefault="005D5805" w:rsidP="005D5805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Style w:val="nfasis"/>
                <w:color w:val="D9D9D9" w:themeColor="background1" w:themeShade="D9"/>
              </w:rPr>
            </w:pPr>
            <w:r w:rsidRPr="00736255">
              <w:rPr>
                <w:rStyle w:val="nfasis"/>
                <w:color w:val="D9D9D9" w:themeColor="background1" w:themeShade="D9"/>
              </w:rPr>
              <w:t>Liquidaciones primarias electrónicas de granos a canjeadores (F1116B únicos</w:t>
            </w:r>
            <w:r w:rsidR="00736255" w:rsidRPr="00736255">
              <w:rPr>
                <w:rStyle w:val="nfasis"/>
                <w:color w:val="D9D9D9" w:themeColor="background1" w:themeShade="D9"/>
              </w:rPr>
              <w:t xml:space="preserve"> con F1116A)</w:t>
            </w:r>
          </w:p>
          <w:p w:rsidR="00736255" w:rsidRPr="005D5805" w:rsidRDefault="00736255" w:rsidP="005D5805">
            <w:pPr>
              <w:autoSpaceDE w:val="0"/>
              <w:autoSpaceDN w:val="0"/>
              <w:adjustRightInd w:val="0"/>
              <w:rPr>
                <w:rStyle w:val="nfasis"/>
                <w:color w:val="D9D9D9" w:themeColor="background1" w:themeShade="D9"/>
              </w:rPr>
            </w:pPr>
          </w:p>
          <w:p w:rsidR="005D5805" w:rsidRDefault="005D5805" w:rsidP="00736255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Style w:val="nfasis"/>
                <w:color w:val="D9D9D9" w:themeColor="background1" w:themeShade="D9"/>
              </w:rPr>
            </w:pPr>
            <w:r w:rsidRPr="00736255">
              <w:rPr>
                <w:rStyle w:val="nfasis"/>
                <w:color w:val="D9D9D9" w:themeColor="background1" w:themeShade="D9"/>
              </w:rPr>
              <w:t>Generación de la información semanal de los F.1116 de canjeadores para Movimiento de Granos AFIP.</w:t>
            </w:r>
          </w:p>
          <w:p w:rsidR="00736255" w:rsidRPr="00736255" w:rsidRDefault="00736255" w:rsidP="00736255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Style w:val="nfasis"/>
                <w:color w:val="D9D9D9" w:themeColor="background1" w:themeShade="D9"/>
              </w:rPr>
            </w:pPr>
          </w:p>
          <w:p w:rsidR="005D5805" w:rsidRPr="00736255" w:rsidRDefault="005D5805" w:rsidP="00736255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Style w:val="nfasis"/>
                <w:color w:val="D9D9D9" w:themeColor="background1" w:themeShade="D9"/>
              </w:rPr>
            </w:pPr>
            <w:r w:rsidRPr="00736255">
              <w:rPr>
                <w:rStyle w:val="nfasis"/>
                <w:color w:val="D9D9D9" w:themeColor="background1" w:themeShade="D9"/>
              </w:rPr>
              <w:t>Emisión de comisiones sobre contratos primarios.</w:t>
            </w:r>
          </w:p>
          <w:p w:rsidR="005D5805" w:rsidRPr="005D5805" w:rsidRDefault="005D5805" w:rsidP="005D5805">
            <w:pPr>
              <w:autoSpaceDE w:val="0"/>
              <w:autoSpaceDN w:val="0"/>
              <w:adjustRightInd w:val="0"/>
              <w:rPr>
                <w:rStyle w:val="nfasis"/>
                <w:color w:val="D9D9D9" w:themeColor="background1" w:themeShade="D9"/>
              </w:rPr>
            </w:pPr>
          </w:p>
          <w:p w:rsidR="00516DD8" w:rsidRDefault="00516DD8" w:rsidP="00CB6B73">
            <w:pPr>
              <w:jc w:val="both"/>
              <w:rPr>
                <w:rStyle w:val="nfasis"/>
                <w:color w:val="D9D9D9" w:themeColor="background1" w:themeShade="D9"/>
              </w:rPr>
            </w:pPr>
          </w:p>
          <w:p w:rsidR="00C0616D" w:rsidRPr="00F83DE7" w:rsidRDefault="00C0616D" w:rsidP="00CB6B73">
            <w:pPr>
              <w:rPr>
                <w:rStyle w:val="nfasis"/>
                <w:b/>
                <w:i w:val="0"/>
                <w:color w:val="F3CC5F" w:themeColor="background2" w:themeShade="BF"/>
                <w:sz w:val="24"/>
                <w:szCs w:val="24"/>
              </w:rPr>
            </w:pPr>
          </w:p>
          <w:p w:rsidR="00516DD8" w:rsidRPr="00DA2DCA" w:rsidRDefault="00516DD8" w:rsidP="00CB6B73">
            <w:pPr>
              <w:rPr>
                <w:rStyle w:val="nfasis"/>
                <w:b/>
                <w:i w:val="0"/>
                <w:color w:val="FFFFFF" w:themeColor="background1"/>
                <w:sz w:val="28"/>
                <w:szCs w:val="28"/>
              </w:rPr>
            </w:pPr>
            <w:r>
              <w:rPr>
                <w:b/>
                <w:iCs/>
                <w:noProof/>
                <w:color w:val="FFC000"/>
                <w:sz w:val="28"/>
                <w:szCs w:val="28"/>
                <w:lang w:eastAsia="es-AR"/>
              </w:rPr>
              <w:drawing>
                <wp:inline distT="0" distB="0" distL="0" distR="0" wp14:anchorId="0E342623" wp14:editId="01A7C37E">
                  <wp:extent cx="209550" cy="209550"/>
                  <wp:effectExtent l="0" t="0" r="0" b="0"/>
                  <wp:docPr id="1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olverGrisFdoTransparente copia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fasis"/>
                <w:b/>
                <w:i w:val="0"/>
                <w:color w:val="FFC000"/>
                <w:sz w:val="28"/>
                <w:szCs w:val="28"/>
              </w:rPr>
              <w:t xml:space="preserve"> </w:t>
            </w:r>
            <w:r w:rsidRPr="00DA2DCA">
              <w:rPr>
                <w:rStyle w:val="nfasis"/>
                <w:b/>
                <w:i w:val="0"/>
                <w:color w:val="FFFFFF" w:themeColor="background1"/>
                <w:sz w:val="28"/>
                <w:szCs w:val="28"/>
              </w:rPr>
              <w:t>Solver Informática srl</w:t>
            </w:r>
          </w:p>
          <w:p w:rsidR="00516DD8" w:rsidRPr="00DA2DCA" w:rsidRDefault="00516DD8" w:rsidP="00CB6B73">
            <w:pPr>
              <w:rPr>
                <w:rStyle w:val="nfasis"/>
                <w:i w:val="0"/>
                <w:color w:val="FFFFFF" w:themeColor="background1"/>
              </w:rPr>
            </w:pPr>
            <w:r w:rsidRPr="00DA2DCA">
              <w:rPr>
                <w:rStyle w:val="nfasis"/>
                <w:i w:val="0"/>
                <w:color w:val="FFFFFF" w:themeColor="background1"/>
              </w:rPr>
              <w:t>Ricardone 1269 P.A.  0341- 449-9642  0341- 156-194977</w:t>
            </w:r>
          </w:p>
          <w:p w:rsidR="00516DD8" w:rsidRPr="001D2367" w:rsidRDefault="003B19BD" w:rsidP="00CB6B73">
            <w:pPr>
              <w:rPr>
                <w:iCs/>
                <w:color w:val="4E3B30" w:themeColor="text2"/>
              </w:rPr>
            </w:pPr>
            <w:hyperlink r:id="rId8" w:history="1">
              <w:r w:rsidR="00516DD8" w:rsidRPr="00DA2DCA">
                <w:rPr>
                  <w:rStyle w:val="Hipervnculo"/>
                  <w:color w:val="FFFFFF" w:themeColor="background1"/>
                </w:rPr>
                <w:t>consultas@solverinfo.com.ar</w:t>
              </w:r>
            </w:hyperlink>
            <w:r w:rsidR="00516DD8" w:rsidRPr="00DA2DCA">
              <w:rPr>
                <w:rStyle w:val="nfasis"/>
                <w:i w:val="0"/>
                <w:color w:val="FFFFFF" w:themeColor="background1"/>
              </w:rPr>
              <w:t xml:space="preserve"> </w:t>
            </w:r>
            <w:hyperlink r:id="rId9" w:history="1">
              <w:r w:rsidR="00516DD8" w:rsidRPr="00DA2DCA">
                <w:rPr>
                  <w:rStyle w:val="Hipervnculo"/>
                  <w:color w:val="FFFFFF" w:themeColor="background1"/>
                </w:rPr>
                <w:t>www.solverinfo.com.ar</w:t>
              </w:r>
            </w:hyperlink>
          </w:p>
        </w:tc>
        <w:tc>
          <w:tcPr>
            <w:tcW w:w="283" w:type="dxa"/>
            <w:shd w:val="clear" w:color="auto" w:fill="133AAC"/>
          </w:tcPr>
          <w:p w:rsidR="00516DD8" w:rsidRPr="000E06FC" w:rsidRDefault="00516DD8" w:rsidP="00CB6B73">
            <w:pPr>
              <w:rPr>
                <w:rStyle w:val="nfasis"/>
                <w:color w:val="4C10AE"/>
                <w:sz w:val="28"/>
                <w:szCs w:val="28"/>
              </w:rPr>
            </w:pPr>
          </w:p>
          <w:p w:rsidR="00A87233" w:rsidRDefault="00A87233" w:rsidP="00A87233">
            <w:pPr>
              <w:pStyle w:val="Prrafodelista"/>
              <w:ind w:left="317"/>
              <w:rPr>
                <w:rStyle w:val="nfasis"/>
                <w:color w:val="FFFFFF" w:themeColor="background1"/>
              </w:rPr>
            </w:pPr>
          </w:p>
          <w:p w:rsidR="00A87233" w:rsidRDefault="00A87233" w:rsidP="00A87233">
            <w:pPr>
              <w:pStyle w:val="Prrafodelista"/>
              <w:ind w:left="317"/>
              <w:rPr>
                <w:rStyle w:val="nfasis"/>
                <w:color w:val="FFFFFF" w:themeColor="background1"/>
              </w:rPr>
            </w:pPr>
          </w:p>
          <w:p w:rsidR="00A87233" w:rsidRPr="00A87233" w:rsidRDefault="00A87233" w:rsidP="00A87233">
            <w:pPr>
              <w:rPr>
                <w:rStyle w:val="nfasis"/>
                <w:color w:val="FFFFFF" w:themeColor="background1"/>
              </w:rPr>
            </w:pPr>
          </w:p>
          <w:p w:rsidR="00A87233" w:rsidRDefault="00A87233" w:rsidP="00A87233">
            <w:pPr>
              <w:rPr>
                <w:rStyle w:val="nfasis"/>
                <w:color w:val="FFFFFF" w:themeColor="background1"/>
              </w:rPr>
            </w:pPr>
          </w:p>
          <w:p w:rsidR="00A87233" w:rsidRPr="00A87233" w:rsidRDefault="00A87233" w:rsidP="00A87233">
            <w:pPr>
              <w:rPr>
                <w:rStyle w:val="nfasis"/>
                <w:color w:val="FFFFFF" w:themeColor="background1"/>
              </w:rPr>
            </w:pPr>
          </w:p>
          <w:p w:rsidR="00516DD8" w:rsidRDefault="00516DD8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516DD8" w:rsidRPr="000A78E4" w:rsidRDefault="00516DD8" w:rsidP="00736255">
            <w:pPr>
              <w:rPr>
                <w:rStyle w:val="nfasis"/>
                <w:sz w:val="20"/>
                <w:szCs w:val="20"/>
              </w:rPr>
            </w:pPr>
          </w:p>
        </w:tc>
      </w:tr>
    </w:tbl>
    <w:p w:rsidR="00612DFB" w:rsidRPr="00612DFB" w:rsidRDefault="00612DFB" w:rsidP="00612DFB"/>
    <w:sectPr w:rsidR="00612DFB" w:rsidRPr="00612DFB" w:rsidSect="000A78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.25pt;height:23.25pt;visibility:visible;mso-wrap-style:square" o:bullet="t">
        <v:imagedata r:id="rId1" o:title=""/>
      </v:shape>
    </w:pict>
  </w:numPicBullet>
  <w:abstractNum w:abstractNumId="0">
    <w:nsid w:val="03197E70"/>
    <w:multiLevelType w:val="hybridMultilevel"/>
    <w:tmpl w:val="BF4E9218"/>
    <w:lvl w:ilvl="0" w:tplc="26029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367B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42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4A0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2B9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6C7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721E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C1A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8659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7B147F0"/>
    <w:multiLevelType w:val="hybridMultilevel"/>
    <w:tmpl w:val="E09445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02388"/>
    <w:multiLevelType w:val="hybridMultilevel"/>
    <w:tmpl w:val="9D32F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C510E"/>
    <w:multiLevelType w:val="hybridMultilevel"/>
    <w:tmpl w:val="48043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F16E4"/>
    <w:multiLevelType w:val="hybridMultilevel"/>
    <w:tmpl w:val="DC1E2190"/>
    <w:lvl w:ilvl="0" w:tplc="04A811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A9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80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0420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CC4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8A6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A4A1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AE3B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C24C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526E7DF6"/>
    <w:multiLevelType w:val="hybridMultilevel"/>
    <w:tmpl w:val="C9A684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20504"/>
    <w:multiLevelType w:val="hybridMultilevel"/>
    <w:tmpl w:val="2A320C50"/>
    <w:lvl w:ilvl="0" w:tplc="D78C8D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3682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6C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42B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8D9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44D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5851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A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EC1C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66844C8"/>
    <w:multiLevelType w:val="hybridMultilevel"/>
    <w:tmpl w:val="FA4267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B4"/>
    <w:rsid w:val="000A78E4"/>
    <w:rsid w:val="000D3085"/>
    <w:rsid w:val="000E06FC"/>
    <w:rsid w:val="000E4C29"/>
    <w:rsid w:val="001120F3"/>
    <w:rsid w:val="00120850"/>
    <w:rsid w:val="001247B5"/>
    <w:rsid w:val="001902F5"/>
    <w:rsid w:val="001B55E3"/>
    <w:rsid w:val="001D2367"/>
    <w:rsid w:val="002060E9"/>
    <w:rsid w:val="002067F1"/>
    <w:rsid w:val="00210FA3"/>
    <w:rsid w:val="002265DE"/>
    <w:rsid w:val="00280F54"/>
    <w:rsid w:val="00307AA7"/>
    <w:rsid w:val="00326ECD"/>
    <w:rsid w:val="00375383"/>
    <w:rsid w:val="003B0431"/>
    <w:rsid w:val="003B19BD"/>
    <w:rsid w:val="00410BDD"/>
    <w:rsid w:val="00417991"/>
    <w:rsid w:val="004B60AD"/>
    <w:rsid w:val="004D3DE4"/>
    <w:rsid w:val="004F20C9"/>
    <w:rsid w:val="00516DD8"/>
    <w:rsid w:val="005641D6"/>
    <w:rsid w:val="005C6F7E"/>
    <w:rsid w:val="005D5805"/>
    <w:rsid w:val="00612DFB"/>
    <w:rsid w:val="00672369"/>
    <w:rsid w:val="00734D44"/>
    <w:rsid w:val="00736255"/>
    <w:rsid w:val="00821F37"/>
    <w:rsid w:val="008A042C"/>
    <w:rsid w:val="009F1540"/>
    <w:rsid w:val="00A15FFE"/>
    <w:rsid w:val="00A87233"/>
    <w:rsid w:val="00A87876"/>
    <w:rsid w:val="00B25338"/>
    <w:rsid w:val="00BC437A"/>
    <w:rsid w:val="00BF63D3"/>
    <w:rsid w:val="00C0616D"/>
    <w:rsid w:val="00C15C78"/>
    <w:rsid w:val="00C8037A"/>
    <w:rsid w:val="00C914F5"/>
    <w:rsid w:val="00CB61B4"/>
    <w:rsid w:val="00CC12AC"/>
    <w:rsid w:val="00DA2DCA"/>
    <w:rsid w:val="00E97E19"/>
    <w:rsid w:val="00F219F6"/>
    <w:rsid w:val="00F83DE7"/>
    <w:rsid w:val="00FC7E8C"/>
    <w:rsid w:val="00FD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ultas@solverinfo.com.a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olverinfo.com.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Viajes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26</cp:revision>
  <cp:lastPrinted>2013-10-02T12:30:00Z</cp:lastPrinted>
  <dcterms:created xsi:type="dcterms:W3CDTF">2013-06-18T13:59:00Z</dcterms:created>
  <dcterms:modified xsi:type="dcterms:W3CDTF">2013-10-02T12:30:00Z</dcterms:modified>
</cp:coreProperties>
</file>