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Análisis Exhaustivo de la Crisis Previsional, Crónica Técnica de un Colapso Anunciado en la Caja Fiscal (2015–2025)</w:t>
      </w:r>
    </w:p>
    <w:p>
      <w:pPr>
        <w:pStyle w:val="Author"/>
      </w:pPr>
      <w:r>
        <w:t xml:space="preserve">Departamento de Estudios Financieros y Actuariales</w:t>
      </w:r>
    </w:p>
    <w:p>
      <w:pPr>
        <w:pStyle w:val="Date"/>
      </w:pPr>
      <w:r>
        <w:t xml:space="preserve">02/02/2026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"1-4" \h \z \u</w:instrText>
            <w:fldChar w:fldCharType="separate"/>
            <w:fldChar w:fldCharType="end"/>
          </w:r>
        </w:p>
      </w:sdtContent>
    </w:sdt>
    <w:bookmarkStart w:id="20" w:name="resumen-ejecutivo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Resumen ejecutivo</w:t>
      </w:r>
    </w:p>
    <w:p>
      <w:pPr>
        <w:pStyle w:val="FirstParagraph"/>
      </w:pPr>
      <w:r>
        <w:t xml:space="preserve">Este informe documenta, con base en evidencia oficial y en los archivos adjuntos, que la crisis de la</w:t>
      </w:r>
      <w:r>
        <w:t xml:space="preserve"> </w:t>
      </w:r>
      <w:r>
        <w:rPr>
          <w:b/>
          <w:bCs/>
        </w:rPr>
        <w:t xml:space="preserve">Caja Fiscal</w:t>
      </w:r>
      <w:r>
        <w:t xml:space="preserve"> </w:t>
      </w:r>
      <w:r>
        <w:t xml:space="preserve">no surge como un evento súbito, sino como el desenlace de un</w:t>
      </w:r>
      <w:r>
        <w:t xml:space="preserve"> </w:t>
      </w:r>
      <w:r>
        <w:rPr>
          <w:b/>
          <w:bCs/>
        </w:rPr>
        <w:t xml:space="preserve">descalce estructural persistente</w:t>
      </w:r>
      <w:r>
        <w:t xml:space="preserve"> </w:t>
      </w:r>
      <w:r>
        <w:t xml:space="preserve">entre ingresos contributivos y obligaciones previsionales.</w:t>
      </w:r>
    </w:p>
    <w:p>
      <w:pPr>
        <w:pStyle w:val="BodyText"/>
      </w:pPr>
      <w:r>
        <w:t xml:space="preserve">El diagnóstico se apoya en dos planos que deben leerse conjuntamente: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Plano previsional (Caja Fiscal)</w:t>
      </w:r>
      <w:r>
        <w:t xml:space="preserve">, serie anual oficial de ingresos, gastos y saldo.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Plano operativo (cuadros DIC adjuntos)</w:t>
      </w:r>
      <w:r>
        <w:t xml:space="preserve">, composición de ingresos, stock de beneficiarios, base de aportantes e inversiones e intereses.</w:t>
      </w:r>
    </w:p>
    <w:bookmarkEnd w:id="20"/>
    <w:bookmarkStart w:id="25" w:name="marco-analítico-definiciones-y-notació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Marco analítico, definiciones y notación</w:t>
      </w:r>
    </w:p>
    <w:p>
      <w:pPr>
        <w:pStyle w:val="FirstParagraph"/>
      </w:pPr>
      <w:r>
        <w:t xml:space="preserve">Sea, para cada año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Ingreso</w:t>
      </w:r>
      <w:r>
        <w:t xml:space="preserve"> </w:t>
      </w:r>
      <w:r>
        <w:t xml:space="preserve">(millones de Gs),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G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Gasto</w:t>
      </w:r>
      <w:r>
        <w:t xml:space="preserve"> </w:t>
      </w:r>
      <w:r>
        <w:t xml:space="preserve">(millones de Gs),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Saldo</w:t>
      </w:r>
      <w:r>
        <w:t xml:space="preserve"> </w:t>
      </w:r>
      <w:r>
        <w:t xml:space="preserve">(millones de Gs), definido como: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Con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indicando déficit.</w:t>
      </w:r>
    </w:p>
    <w:p>
      <w:pPr>
        <w:pStyle w:val="BodyText"/>
      </w:pPr>
      <w:r>
        <w:t xml:space="preserve">A partir de ello se definen indicadores de tensión:</w:t>
      </w:r>
    </w:p>
    <w:bookmarkStart w:id="21" w:name="brecha-de-financiamiento-gap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(1) Brecha de financiamiento (gap)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Gap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I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t</m:t>
              </m:r>
            </m:sub>
          </m:sSub>
        </m:oMath>
      </m:oMathPara>
    </w:p>
    <w:bookmarkEnd w:id="21"/>
    <w:bookmarkStart w:id="22" w:name="X24b8be495493270185bd582ee60b136b07deee4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(2) Ratio de tensión operativa (gasto sobre ingreso)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Interpretación: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, equilibrio o superávit,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, gasto superior al ingreso, se requiere financiamiento complementario.</w:t>
      </w:r>
    </w:p>
    <w:bookmarkEnd w:id="22"/>
    <w:bookmarkStart w:id="23" w:name="déficit-relativo-al-ingreso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(3) Déficit relativo al ingreso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den>
          </m:f>
        </m:oMath>
      </m:oMathPara>
    </w:p>
    <w:bookmarkEnd w:id="23"/>
    <w:bookmarkStart w:id="24" w:name="dinámica-interanual-crecimiento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(4) Dinámica interanual (crecimiento)</w:t>
      </w:r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I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Sup>
            <m:e>
              <m:r>
                <m:t>g</m:t>
              </m:r>
            </m:e>
            <m:sub>
              <m:r>
                <m:t>t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G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Patrón crítico:</w:t>
      </w:r>
      <w:r>
        <w:t xml:space="preserve"> </w:t>
      </w: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t>G</m:t>
            </m:r>
          </m:sup>
        </m:sSubSup>
        <m:r>
          <m:rPr>
            <m:sty m:val="p"/>
          </m:rPr>
          <m:t>&gt;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I</m:t>
            </m:r>
          </m:sup>
        </m:sSubSup>
      </m:oMath>
      <w:r>
        <w:t xml:space="preserve"> </w:t>
      </w:r>
      <w:r>
        <w:t xml:space="preserve">de manera persistente.</w:t>
      </w:r>
    </w:p>
    <w:bookmarkEnd w:id="24"/>
    <w:bookmarkEnd w:id="25"/>
    <w:bookmarkStart w:id="27" w:name="carga-de-datos-csv-estructurado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Carga de datos (CSV estructurado)</w:t>
      </w:r>
    </w:p>
    <w:bookmarkStart w:id="26" w:name="serie-anual-e-indicadores-de-tensión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Serie anual e indicadores de tensión</w:t>
      </w:r>
    </w:p>
    <w:p>
      <w:pPr>
        <w:pStyle w:val="TableCaption"/>
      </w:pPr>
      <w:r>
        <w:t xml:space="preserve">Serie anual de Caja Fiscal e indicadores de tensión (2015–2025).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erie anual de Caja Fiscal e indicadores de tensión (2015–2025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 (mill.)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Gasto (mill.)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Saldo (mill.)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G/I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Déficit/Ingreso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Ingreso (bill.)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Gasto (bill.)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Saldo (bill.)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2.001.731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2.071.892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-70.161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1.789.316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2.218.377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-429.061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1.927.499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2.469.359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-541.860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2.178.517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2.823.443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-644.926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2.354.724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3.140.716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-785.992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2.407.885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3.425.533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-1.017.648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2.464.859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3.597.737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-1.132.878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3.221.836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4.102.569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-880.733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3.621.049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4.761.041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-1.139.992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3.099.588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5.318.713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-2.219.125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3.313.893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5.873.795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-2.559.902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-2.560</w:t>
            </w:r>
          </w:p>
        </w:tc>
      </w:tr>
    </w:tbl>
    <w:bookmarkEnd w:id="26"/>
    <w:bookmarkEnd w:id="27"/>
    <w:bookmarkStart w:id="40" w:name="figuras-clave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Figuras clave</w:t>
      </w:r>
    </w:p>
    <w:bookmarkStart w:id="31" w:name="figura-1-ingreso-gasto-y-saldo-billones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Figura 1, Ingreso, gasto y saldo (billones)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Evolución del ingreso, gasto y saldo (en billones de Gs)." title="" id="29" name="Picture"/>
            <a:graphic>
              <a:graphicData uri="http://schemas.openxmlformats.org/drawingml/2006/picture">
                <pic:pic>
                  <pic:nvPicPr>
                    <pic:cNvPr descr="estados_Contables_caja_fiscal_files/figure-docx/fig-igs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Evolución del ingreso, gasto y saldo (en billones de Gs).</w:t>
      </w:r>
    </w:p>
    <w:bookmarkEnd w:id="31"/>
    <w:bookmarkStart w:id="35" w:name="figura-2-ratio-r_t-con-umbral-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Figura 2, Ratio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con umbral 1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Ratio de tensión operativa R_t = G_t / I_t (umbral 1,0)." title="" id="33" name="Picture"/>
            <a:graphic>
              <a:graphicData uri="http://schemas.openxmlformats.org/drawingml/2006/picture">
                <pic:pic>
                  <pic:nvPicPr>
                    <pic:cNvPr descr="estados_Contables_caja_fiscal_files/figure-docx/fig-ratio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Ratio de tensión operativa R_t = G_t / I_t (umbral 1,0).</w:t>
      </w:r>
    </w:p>
    <w:bookmarkEnd w:id="35"/>
    <w:bookmarkStart w:id="39" w:name="figura-3-brecha-anual-gap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Figura 3, Brecha anual (gap)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Brecha anual de financiamiento (G_t - I_t), en millones de Gs." title="" id="37" name="Picture"/>
            <a:graphic>
              <a:graphicData uri="http://schemas.openxmlformats.org/drawingml/2006/picture">
                <pic:pic>
                  <pic:nvPicPr>
                    <pic:cNvPr descr="estados_Contables_caja_fiscal_files/figure-docx/fig-gap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Brecha anual de financiamiento (G_t - I_t), en millones de Gs.</w:t>
      </w:r>
    </w:p>
    <w:bookmarkEnd w:id="39"/>
    <w:bookmarkEnd w:id="40"/>
    <w:bookmarkStart w:id="43" w:name="métricas-de-estrés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Métricas de estrés</w:t>
      </w:r>
    </w:p>
    <w:bookmarkStart w:id="41" w:name="X55ff6d16de13ddef24c5a70cd11550957402bc1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Crecimiento interanual del ingreso y del gasto</w:t>
      </w:r>
    </w:p>
    <w:p>
      <w:pPr>
        <w:pStyle w:val="TableCaption"/>
      </w:pPr>
      <w:r>
        <w:t xml:space="preserve">Crecimiento interanual del ingreso y del gasto.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recimiento interanual del ingreso y del gast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Crec. gasto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14,3%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16,1%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-14,4%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10,4%</w:t>
            </w:r>
          </w:p>
        </w:tc>
      </w:tr>
    </w:tbl>
    <w:bookmarkEnd w:id="41"/>
    <w:bookmarkStart w:id="42" w:name="clasificación-del-déficit-relativo-d_t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Clasificación del déficit relativo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</w:p>
    <w:p>
      <w:pPr>
        <w:pStyle w:val="TableCaption"/>
      </w:pPr>
      <w:r>
        <w:t xml:space="preserve">Clasificación del déficit relativo al ingreso.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Clasificación del déficit relativo al ingreso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Déficit/Ingreso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 de estrés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(menos de 10%)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 (10% a 30%)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 (10% a 30%)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 (10% a 30%)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(30% a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(30% a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(30% a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Moderado (10% a 30%)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(30% a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(más de 60%)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Crítico (más de 60%)</w:t>
            </w:r>
          </w:p>
        </w:tc>
      </w:tr>
    </w:tbl>
    <w:bookmarkEnd w:id="42"/>
    <w:bookmarkEnd w:id="43"/>
    <w:bookmarkStart w:id="49" w:name="integración-con-cuadros-dic-pdf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Integración con Cuadros DIC (PDF)</w:t>
      </w:r>
    </w:p>
    <w:p>
      <w:pPr>
        <w:pStyle w:val="FirstParagraph"/>
      </w:pPr>
      <w:r>
        <w:t xml:space="preserve">En el DOCX observado, la extracción por</w:t>
      </w:r>
      <w:r>
        <w:t xml:space="preserve"> </w:t>
      </w:r>
      <w:r>
        <w:rPr>
          <w:rStyle w:val="VerbatimChar"/>
        </w:rPr>
        <w:t xml:space="preserve">tabulizer</w:t>
      </w:r>
      <w:r>
        <w:t xml:space="preserve"> </w:t>
      </w:r>
      <w:r>
        <w:t xml:space="preserve">no produjo tablas (estado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), lo cual es consistente con entornos sin Java o sin dependencias del paquete. A fin de evitar que secciones queden vacías, este informe aplica el siguiente criterio:</w:t>
      </w:r>
    </w:p>
    <w:p>
      <w:pPr>
        <w:pStyle w:val="Compact"/>
        <w:numPr>
          <w:ilvl w:val="0"/>
          <w:numId w:val="1004"/>
        </w:numPr>
      </w:pPr>
      <w:r>
        <w:t xml:space="preserve">Si</w:t>
      </w:r>
      <w:r>
        <w:t xml:space="preserve"> </w:t>
      </w:r>
      <w:r>
        <w:rPr>
          <w:rStyle w:val="VerbatimChar"/>
        </w:rPr>
        <w:t xml:space="preserve">tabulizer</w:t>
      </w:r>
      <w:r>
        <w:t xml:space="preserve"> </w:t>
      </w:r>
      <w:r>
        <w:t xml:space="preserve">está disponible y extrae tablas, se imprimen tablas estructuradas.</w:t>
      </w:r>
    </w:p>
    <w:p>
      <w:pPr>
        <w:pStyle w:val="Compact"/>
        <w:numPr>
          <w:ilvl w:val="0"/>
          <w:numId w:val="1004"/>
        </w:numPr>
      </w:pPr>
      <w:r>
        <w:t xml:space="preserve">En caso contrario, se imprime un</w:t>
      </w:r>
      <w:r>
        <w:t xml:space="preserve"> </w:t>
      </w:r>
      <w:r>
        <w:rPr>
          <w:b/>
          <w:bCs/>
        </w:rPr>
        <w:t xml:space="preserve">extracto tabular de texto</w:t>
      </w:r>
      <w:r>
        <w:t xml:space="preserve"> </w:t>
      </w:r>
      <w:r>
        <w:t xml:space="preserve">mediante</w:t>
      </w:r>
      <w:r>
        <w:t xml:space="preserve"> </w:t>
      </w:r>
      <w:r>
        <w:rPr>
          <w:rStyle w:val="VerbatimChar"/>
        </w:rPr>
        <w:t xml:space="preserve">pdftools</w:t>
      </w:r>
      <w:r>
        <w:t xml:space="preserve">, garantizando que se genere una tabla en Word.</w:t>
      </w:r>
    </w:p>
    <w:p>
      <w:pPr>
        <w:pStyle w:val="TableCaption"/>
      </w:pPr>
      <w:r>
        <w:t xml:space="preserve">Estado de lectura de PDFs (existencia y extracción con tabulizer).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do de lectura de PDFs (existencia y extracción con tabulizer)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Tabulizer extrae tabla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G:/Mi unidad/CAJA FISCAL/cuadro_1_dic.pdf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G:/Mi unidad/CAJA FISCAL/cuadro_2_dic.pdf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G:/Mi unidad/CAJA FISCAL/cuadro_4_dic.pdf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G:/Mi unidad/CAJA FISCAL/cuadro_6_dic.pdf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Start w:id="44" w:name="X0d18ab9817aeab0ba762d5e754f9c9232ace646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Cuadro 2 (DIC), Ingresos por concepto y sector</w:t>
      </w:r>
    </w:p>
    <w:p>
      <w:pPr>
        <w:pStyle w:val="TableCaption"/>
      </w:pPr>
      <w:r>
        <w:t xml:space="preserve">Cuadro 2 DIC, extracto textual (fallback pdftools).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Cuadro 2 DIC, extracto textual (fallback pdftools).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INGRESOS POR CONCEPTO Y SECTOR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DENOMINACION FUERZAS ARMADAS Total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Aportes Jubilatorio 1.145.734.968.737 96.631.916.937 1.171.792.374.726 147.940.155.728 214.328.657.585 378.026.404.235 3.154.454.477.948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Ley 6085 27.982.474.825 - - - - - 27.982.474.825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Aporte Reconoc.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1.217.113.031.550 104.650.360.338 1.217.097.648.759 152.360.049.477 222.958.152.665 399.713.289.406 3.313.892.532.195</w:t>
            </w:r>
          </w:p>
        </w:tc>
      </w:tr>
    </w:tbl>
    <w:bookmarkEnd w:id="44"/>
    <w:bookmarkStart w:id="45" w:name="cuadro-6-dic-beneficiarios-stock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Cuadro 6 (DIC), Beneficiarios (stock)</w:t>
      </w:r>
    </w:p>
    <w:p>
      <w:pPr>
        <w:pStyle w:val="TableCaption"/>
      </w:pPr>
      <w:r>
        <w:t xml:space="preserve">Cuadro 6 DIC, extracto textual (fallback pdftools).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Cuadro 6 DIC, extracto textual (fallback pdftools).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Beneficios al 30 de Diciembre 2025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JUBILACIÓN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JUBILADOS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71.092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PENSIÓN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HEREDEROS O PENSIONADOS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12.345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Beneficiarios Activos al 31 de Diciembre 2025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*Corresponde a la cantidad de beneficiarios activos que poseen el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beneficio de Jubilación y Pensión</w:t>
            </w:r>
          </w:p>
        </w:tc>
      </w:tr>
    </w:tbl>
    <w:bookmarkEnd w:id="45"/>
    <w:bookmarkStart w:id="48" w:name="cuadro-4-dic-inversiones-e-intereses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Cuadro 4 (DIC), Inversiones e intereses</w:t>
      </w:r>
    </w:p>
    <w:bookmarkStart w:id="46" w:name="propósito-del-cuadro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Propósito del cuadro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Cuadro 4 (DIC)</w:t>
      </w:r>
      <w:r>
        <w:t xml:space="preserve"> </w:t>
      </w:r>
      <w:r>
        <w:t xml:space="preserve">describe la</w:t>
      </w:r>
      <w:r>
        <w:t xml:space="preserve"> </w:t>
      </w:r>
      <w:r>
        <w:rPr>
          <w:b/>
          <w:bCs/>
        </w:rPr>
        <w:t xml:space="preserve">cartera de colocaciones financieras</w:t>
      </w:r>
      <w:r>
        <w:t xml:space="preserve"> </w:t>
      </w:r>
      <w:r>
        <w:t xml:space="preserve">gestionadas en el periodo, detallando para cada operación, el</w:t>
      </w:r>
      <w:r>
        <w:t xml:space="preserve"> </w:t>
      </w:r>
      <w:r>
        <w:rPr>
          <w:b/>
          <w:bCs/>
        </w:rPr>
        <w:t xml:space="preserve">instrumento</w:t>
      </w:r>
      <w:r>
        <w:t xml:space="preserve">,</w:t>
      </w:r>
      <w:r>
        <w:t xml:space="preserve"> </w:t>
      </w:r>
      <w:r>
        <w:rPr>
          <w:b/>
          <w:bCs/>
        </w:rPr>
        <w:t xml:space="preserve">plazo</w:t>
      </w:r>
      <w:r>
        <w:t xml:space="preserve">,</w:t>
      </w:r>
      <w:r>
        <w:t xml:space="preserve"> </w:t>
      </w:r>
      <w:r>
        <w:rPr>
          <w:b/>
          <w:bCs/>
        </w:rPr>
        <w:t xml:space="preserve">vencimiento</w:t>
      </w:r>
      <w:r>
        <w:t xml:space="preserve">,</w:t>
      </w:r>
      <w:r>
        <w:t xml:space="preserve"> </w:t>
      </w:r>
      <w:r>
        <w:rPr>
          <w:b/>
          <w:bCs/>
        </w:rPr>
        <w:t xml:space="preserve">tasa</w:t>
      </w:r>
      <w:r>
        <w:t xml:space="preserve">,</w:t>
      </w:r>
      <w:r>
        <w:t xml:space="preserve"> </w:t>
      </w:r>
      <w:r>
        <w:rPr>
          <w:b/>
          <w:bCs/>
        </w:rPr>
        <w:t xml:space="preserve">monto invertido</w:t>
      </w:r>
      <w:r>
        <w:t xml:space="preserve">, y los</w:t>
      </w:r>
      <w:r>
        <w:t xml:space="preserve"> </w:t>
      </w:r>
      <w:r>
        <w:rPr>
          <w:b/>
          <w:bCs/>
        </w:rPr>
        <w:t xml:space="preserve">intereses reconocidos y cobrados</w:t>
      </w:r>
      <w:r>
        <w:t xml:space="preserve">. Este cuadro permite dimensionar en qué medida los</w:t>
      </w:r>
      <w:r>
        <w:t xml:space="preserve"> </w:t>
      </w:r>
      <w:r>
        <w:rPr>
          <w:b/>
          <w:bCs/>
        </w:rPr>
        <w:t xml:space="preserve">retornos financieros</w:t>
      </w:r>
      <w:r>
        <w:t xml:space="preserve"> </w:t>
      </w:r>
      <w:r>
        <w:t xml:space="preserve">contribuyen al financiamiento del sistema, frente a déficits operativos anuales.</w:t>
      </w:r>
    </w:p>
    <w:bookmarkEnd w:id="46"/>
    <w:bookmarkStart w:id="47" w:name="nota-metodológica-de-lectura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Nota metodológica de lectura</w:t>
      </w:r>
    </w:p>
    <w:p>
      <w:pPr>
        <w:pStyle w:val="Compact"/>
        <w:numPr>
          <w:ilvl w:val="0"/>
          <w:numId w:val="1005"/>
        </w:numPr>
      </w:pPr>
      <w:r>
        <w:t xml:space="preserve">Las cifras del cuadro se presentan en</w:t>
      </w:r>
      <w:r>
        <w:t xml:space="preserve"> </w:t>
      </w:r>
      <w:r>
        <w:rPr>
          <w:b/>
          <w:bCs/>
        </w:rPr>
        <w:t xml:space="preserve">guaraníes</w:t>
      </w:r>
      <w:r>
        <w:t xml:space="preserve"> </w:t>
      </w:r>
      <w:r>
        <w:t xml:space="preserve">y, conforme al encabezado del propio cuadro, los</w:t>
      </w:r>
      <w:r>
        <w:t xml:space="preserve"> </w:t>
      </w:r>
      <w:r>
        <w:rPr>
          <w:b/>
          <w:bCs/>
        </w:rPr>
        <w:t xml:space="preserve">intereses</w:t>
      </w:r>
      <w:r>
        <w:t xml:space="preserve"> </w:t>
      </w:r>
      <w:r>
        <w:t xml:space="preserve">se informan en</w:t>
      </w:r>
      <w:r>
        <w:t xml:space="preserve"> </w:t>
      </w:r>
      <w:r>
        <w:rPr>
          <w:b/>
          <w:bCs/>
        </w:rPr>
        <w:t xml:space="preserve">millones de guaraníes</w:t>
      </w:r>
      <w:r>
        <w:t xml:space="preserve"> </w:t>
      </w:r>
      <w:r>
        <w:t xml:space="preserve">cuando el PDF así lo indique. En el fallback textual, los montos se capturan como aparecen en el PDF.</w:t>
      </w:r>
    </w:p>
    <w:p>
      <w:pPr>
        <w:pStyle w:val="Compact"/>
        <w:numPr>
          <w:ilvl w:val="0"/>
          <w:numId w:val="1005"/>
        </w:numPr>
      </w:pPr>
      <w:r>
        <w:t xml:space="preserve">La extracción automática puede sufrir</w:t>
      </w:r>
      <w:r>
        <w:t xml:space="preserve"> </w:t>
      </w:r>
      <w:r>
        <w:rPr>
          <w:b/>
          <w:bCs/>
        </w:rPr>
        <w:t xml:space="preserve">pérdidas de estructura</w:t>
      </w:r>
      <w:r>
        <w:t xml:space="preserve"> </w:t>
      </w:r>
      <w:r>
        <w:t xml:space="preserve">(salto</w:t>
      </w:r>
    </w:p>
    <w:bookmarkEnd w:id="47"/>
    <w:bookmarkEnd w:id="48"/>
    <w:bookmarkEnd w:id="49"/>
    <w:bookmarkStart w:id="54" w:name="relato-cronológico-versión-técnica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Relato cronológico, versión técnica</w:t>
      </w:r>
    </w:p>
    <w:bookmarkStart w:id="50" w:name="gestación-y-alerta-temprana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2015–2016, gestación y alerta temprana</w:t>
      </w:r>
    </w:p>
    <w:p>
      <w:pPr>
        <w:pStyle w:val="FirstParagraph"/>
      </w:pPr>
      <w:r>
        <w:t xml:space="preserve">Desde el inicio del periodo, se verifica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y una brecha</w:t>
      </w:r>
      <w:r>
        <w:t xml:space="preserve"> </w:t>
      </w:r>
      <m:oMath>
        <m:sSub>
          <m:e>
            <m:r>
              <m:rPr>
                <m:nor/>
                <m:sty m:val="p"/>
              </m:rPr>
              <m:t>Gap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positiva. La identidad operativa 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Financiamiento requerido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I</m:t>
                  </m:r>
                </m:e>
                <m:sub>
                  <m:r>
                    <m:t>t</m:t>
                  </m:r>
                </m:sub>
              </m:sSub>
            </m:e>
          </m:d>
        </m:oMath>
      </m:oMathPara>
    </w:p>
    <w:bookmarkEnd w:id="50"/>
    <w:bookmarkStart w:id="51" w:name="profundización-del-descalce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2017–2019, profundización del descalce</w:t>
      </w:r>
    </w:p>
    <w:p>
      <w:pPr>
        <w:pStyle w:val="FirstParagraph"/>
      </w:pPr>
      <w:r>
        <w:t xml:space="preserve">El patrón</w:t>
      </w:r>
      <w:r>
        <w:t xml:space="preserve"> </w:t>
      </w:r>
      <m:oMath>
        <m:sSubSup>
          <m:e>
            <m:r>
              <m:t>g</m:t>
            </m:r>
          </m:e>
          <m:sub>
            <m:r>
              <m:t>t</m:t>
            </m:r>
          </m:sub>
          <m:sup>
            <m:r>
              <m:t>G</m:t>
            </m:r>
          </m:sup>
        </m:sSubSup>
        <m:r>
          <m:rPr>
            <m:sty m:val="p"/>
          </m:rPr>
          <m:t>&gt;</m:t>
        </m:r>
        <m:sSubSup>
          <m:e>
            <m:r>
              <m:t>g</m:t>
            </m:r>
          </m:e>
          <m:sub>
            <m:r>
              <m:t>t</m:t>
            </m:r>
          </m:sub>
          <m:sup>
            <m:r>
              <m:t>I</m:t>
            </m:r>
          </m:sup>
        </m:sSubSup>
      </m:oMath>
      <w:r>
        <w:t xml:space="preserve"> </w:t>
      </w:r>
      <w:r>
        <w:t xml:space="preserve">se repite, incrementando el déficit relativo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y elevando la presión sobre financiamiento complementario.</w:t>
      </w:r>
    </w:p>
    <w:bookmarkEnd w:id="51"/>
    <w:bookmarkStart w:id="52" w:name="shock-y-exposición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2020–2022, shock y exposición</w:t>
      </w:r>
    </w:p>
    <w:p>
      <w:pPr>
        <w:pStyle w:val="FirstParagraph"/>
      </w:pPr>
      <w:r>
        <w:t xml:space="preserve">El shock amplifica un sistema ya deficitario. El deterioro transita de déficit estructural a tensión de liquidez cuando la brecha anual crece y los colchones financieros se reducen.</w:t>
      </w:r>
    </w:p>
    <w:bookmarkEnd w:id="52"/>
    <w:bookmarkStart w:id="53" w:name="fase-crítica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2023–2025, fase crítica</w:t>
      </w:r>
    </w:p>
    <w:p>
      <w:pPr>
        <w:pStyle w:val="FirstParagraph"/>
      </w:pPr>
      <w:r>
        <w:t xml:space="preserve">El periodo reciente exhibe incrementos pronunciados en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y valores de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en rango crítico, coherente con un sistema que requiere financiamiento sustantivo y sostenido para cumplir obligaciones.</w:t>
      </w:r>
    </w:p>
    <w:bookmarkEnd w:id="53"/>
    <w:bookmarkEnd w:id="54"/>
    <w:bookmarkStart w:id="55" w:name="conclusión-técnica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Conclusión técnica</w:t>
      </w:r>
    </w:p>
    <w:p>
      <w:pPr>
        <w:pStyle w:val="FirstParagraph"/>
      </w:pPr>
      <w:r>
        <w:t xml:space="preserve">El periodo 2015–2025 evidencia que el gasto previsional excede de manera sistemática al ingreso contributivo, con aceleración reciente que eleva el déficit relativo al ingreso a niveles críticos. La evidencia se resume en:</w:t>
      </w:r>
    </w:p>
    <w:p>
      <w:pPr>
        <w:pStyle w:val="Compact"/>
        <w:numPr>
          <w:ilvl w:val="0"/>
          <w:numId w:val="1006"/>
        </w:numPr>
      </w:pPr>
      <w:r>
        <w:t xml:space="preserve">Persistencia y aumento del ratio</w:t>
      </w:r>
      <w:r>
        <w:t xml:space="preserve"> </w:t>
      </w:r>
      <m:oMath>
        <m:sSub>
          <m:e>
            <m:r>
              <m:t>R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t</m:t>
            </m:r>
          </m:sub>
        </m:sSub>
        <m:r>
          <m:rPr>
            <m:sty m:val="p"/>
          </m:rPr>
          <m:t>/</m:t>
        </m:r>
        <m:sSub>
          <m:e>
            <m:r>
              <m:t>I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Expansión del déficit relativo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Complemento operativo de los cuadros DIC, incluso cuando solo se dispone de extractos textuales por limitaciones del entorno.</w:t>
      </w:r>
    </w:p>
    <w:bookmarkEnd w:id="55"/>
    <w:bookmarkStart w:id="56" w:name="referencias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Referencias</w:t>
      </w:r>
    </w:p>
    <w:p>
      <w:pPr>
        <w:numPr>
          <w:ilvl w:val="0"/>
          <w:numId w:val="1007"/>
        </w:numPr>
      </w:pPr>
      <w:r>
        <w:t xml:space="preserve">Ministerio de Economía y Finanzas (MEF), Paraguay. Informes Financieros Anuales.</w:t>
      </w:r>
      <w:r>
        <w:br/>
      </w:r>
      <w:r>
        <w:rPr>
          <w:rStyle w:val="VerbatimChar"/>
        </w:rPr>
        <w:t xml:space="preserve">https://www.mef.gov.py/es/dependencias/viceministerio-de-administracion-financiera/gerencia-de-gestion-financiera-del-estado/direccion-general-del-tesoro-publico/direccion-general-contabilid/direccion-general-contabilidad-publica-informes-financieros-anuales</w:t>
      </w:r>
    </w:p>
    <w:p>
      <w:pPr>
        <w:numPr>
          <w:ilvl w:val="0"/>
          <w:numId w:val="1007"/>
        </w:numPr>
      </w:pPr>
      <w:r>
        <w:t xml:space="preserve">Ministerio de Economía y Finanzas (MEF), Paraguay. Situación de la Caja Fiscal.</w:t>
      </w:r>
      <w:r>
        <w:br/>
      </w:r>
      <w:r>
        <w:rPr>
          <w:rStyle w:val="VerbatimChar"/>
        </w:rPr>
        <w:t xml:space="preserve">https://www.mef.gov.py/es/situacion-caja-fiscal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Exhaustivo de la Crisis Previsional, Crónica Técnica de un Colapso Anunciado en la Caja Fiscal (2015–2025)</dc:title>
  <dc:creator>Departamento de Estudios Financieros y Actuariales</dc:creator>
  <cp:keywords/>
  <dcterms:created xsi:type="dcterms:W3CDTF">2026-02-02T12:29:38Z</dcterms:created>
  <dcterms:modified xsi:type="dcterms:W3CDTF">2026-02-02T12:29:38Z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02/02/2026</vt:lpwstr>
  </property>
  <property fmtid="{D5CDD505-2E9C-101B-9397-08002B2CF9AE}" pid="3" name="output">
    <vt:lpwstr/>
  </property>
  <property fmtid="{D5CDD505-2E9C-101B-9397-08002B2CF9AE}" pid="4" name="params">
    <vt:lpwstr/>
  </property>
</Properties>
</file>