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Exhaustivo de la Crisis Previsional, Crónica Técnica de un Colapso Anunciado en la Caja Fiscal (2015–2025)</w:t>
      </w:r>
    </w:p>
    <w:p>
      <w:pPr>
        <w:pStyle w:val="Author"/>
      </w:pPr>
      <w:r>
        <w:t xml:space="preserve">Departamento de Estudios Financieros y Actuariales</w:t>
      </w:r>
    </w:p>
    <w:p>
      <w:pPr>
        <w:pStyle w:val="Date"/>
      </w:pPr>
      <w:r>
        <w:t xml:space="preserve">02/02/2026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resumen-ejecutiv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Resumen ejecutivo</w:t>
      </w:r>
    </w:p>
    <w:p>
      <w:pPr>
        <w:pStyle w:val="FirstParagraph"/>
      </w:pPr>
      <w:r>
        <w:t xml:space="preserve">Este informe documenta, con base en evidencia oficial y en los archivos adjuntos, que la crisis de la</w:t>
      </w:r>
      <w:r>
        <w:t xml:space="preserve"> </w:t>
      </w:r>
      <w:r>
        <w:rPr>
          <w:b/>
          <w:bCs/>
        </w:rPr>
        <w:t xml:space="preserve">Caja Fiscal</w:t>
      </w:r>
      <w:r>
        <w:t xml:space="preserve"> </w:t>
      </w:r>
      <w:r>
        <w:t xml:space="preserve">no surge como un evento súbito, sino como el desenlace de un</w:t>
      </w:r>
      <w:r>
        <w:t xml:space="preserve"> </w:t>
      </w:r>
      <w:r>
        <w:rPr>
          <w:b/>
          <w:bCs/>
        </w:rPr>
        <w:t xml:space="preserve">descalce estructural persistente</w:t>
      </w:r>
      <w:r>
        <w:t xml:space="preserve"> </w:t>
      </w:r>
      <w:r>
        <w:t xml:space="preserve">entre ingresos contributivos y obligaciones previsionales.</w:t>
      </w:r>
    </w:p>
    <w:p>
      <w:pPr>
        <w:pStyle w:val="BodyText"/>
      </w:pPr>
      <w:r>
        <w:t xml:space="preserve">El diagnóstico se apoya en dos planos que deben leerse conjuntamente: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Plano previsional (Caja Fiscal)</w:t>
      </w:r>
      <w:r>
        <w:t xml:space="preserve">, serie anual oficial de ingresos, gastos y saldo.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Plano operativo (cuadros DIC adjuntos)</w:t>
      </w:r>
      <w:r>
        <w:t xml:space="preserve">, composición de ingresos, stock de beneficiarios, base de aportantes e inversiones e intereses.</w:t>
      </w:r>
    </w:p>
    <w:bookmarkEnd w:id="20"/>
    <w:bookmarkStart w:id="25" w:name="marco-analítico-definiciones-y-notació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Marco analítico, definiciones y notación</w:t>
      </w:r>
    </w:p>
    <w:p>
      <w:pPr>
        <w:pStyle w:val="FirstParagraph"/>
      </w:pPr>
      <w:r>
        <w:t xml:space="preserve">Sea, para cada año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Ingreso</w:t>
      </w:r>
      <w:r>
        <w:t xml:space="preserve"> </w:t>
      </w:r>
      <w:r>
        <w:t xml:space="preserve">(millones de Gs),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Gasto</w:t>
      </w:r>
      <w:r>
        <w:t xml:space="preserve"> </w:t>
      </w:r>
      <w:r>
        <w:t xml:space="preserve">(millones de Gs),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Saldo</w:t>
      </w:r>
      <w:r>
        <w:t xml:space="preserve"> </w:t>
      </w:r>
      <w:r>
        <w:t xml:space="preserve">(millones de Gs), definido como: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indicando déficit.</w:t>
      </w:r>
    </w:p>
    <w:p>
      <w:pPr>
        <w:pStyle w:val="BodyText"/>
      </w:pPr>
      <w:r>
        <w:t xml:space="preserve">A partir de ello se definen indicadores de tensión:</w:t>
      </w:r>
    </w:p>
    <w:bookmarkStart w:id="21" w:name="brecha-de-financiamiento-gap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(1) Brecha de financiamiento (gap)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Gap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</m:oMath>
      </m:oMathPara>
    </w:p>
    <w:bookmarkEnd w:id="21"/>
    <w:bookmarkStart w:id="22" w:name="X24b8be495493270185bd582ee60b136b07deee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(2) Ratio de tensión operativa (gasto sobre ingreso)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Interpretación: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, equilibrio o superávit,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, gasto superior al ingreso, se requiere financiamiento complementario.</w:t>
      </w:r>
    </w:p>
    <w:bookmarkEnd w:id="22"/>
    <w:bookmarkStart w:id="23" w:name="déficit-relativo-al-ingreso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(3) Déficit relativo al ingreso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bookmarkEnd w:id="23"/>
    <w:bookmarkStart w:id="24" w:name="dinámica-interanual-crecimiento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(4) Dinámica interanual (crecimiento)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Patrón crítico: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de manera persistente.</w:t>
      </w:r>
    </w:p>
    <w:bookmarkEnd w:id="24"/>
    <w:bookmarkEnd w:id="25"/>
    <w:bookmarkStart w:id="27" w:name="carga-de-datos-csv-estructurado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Carga de datos (CSV estructurado)</w:t>
      </w:r>
    </w:p>
    <w:bookmarkStart w:id="26" w:name="serie-anual-e-indicadores-de-tensió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Serie anual e indicadores de tensión</w:t>
      </w:r>
    </w:p>
    <w:p>
      <w:pPr>
        <w:pStyle w:val="TableCaption"/>
      </w:pPr>
      <w:r>
        <w:t xml:space="preserve">Serie anual de Caja Fiscal e indicadores de tensión (2015–2025).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rie anual de Caja Fiscal e indicadores de tensión (2015–2025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(mill.)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(mill.)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(mill.)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Déficit/Ingreso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Ingreso (bill.)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Gasto (bill.)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(bill.)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2.001.731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2.071.892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1.789.316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2.218.377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-429.061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1.927.499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2.469.359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-541.860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2.178.517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2.823.443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-644.926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2.354.724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-785.992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2.407.885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3.425.533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-1.017.648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2.464.859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3.597.737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-1.132.878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3.221.836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4.102.569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-880.733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3.621.049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4.761.041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-1.139.992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3.099.588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5.318.713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3.313.893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5.873.795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-2.559.902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-2.560</w:t>
            </w:r>
          </w:p>
        </w:tc>
      </w:tr>
    </w:tbl>
    <w:bookmarkEnd w:id="26"/>
    <w:bookmarkEnd w:id="27"/>
    <w:bookmarkStart w:id="40" w:name="figuras-clav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Figuras clave</w:t>
      </w:r>
    </w:p>
    <w:bookmarkStart w:id="31" w:name="figura-1-ingreso-gasto-y-saldo-billon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Figura 1, Ingreso, gasto y saldo (billones)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Evolución del ingreso, gasto y saldo (en billones de Gs)." title="" id="29" name="Picture"/>
            <a:graphic>
              <a:graphicData uri="http://schemas.openxmlformats.org/drawingml/2006/picture">
                <pic:pic>
                  <pic:nvPicPr>
                    <pic:cNvPr descr="estados_Contables_caja_fiscal_vGPT_files/figure-docx/fig-ig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del ingreso, gasto y saldo (en billones de Gs).</w:t>
      </w:r>
    </w:p>
    <w:bookmarkEnd w:id="31"/>
    <w:bookmarkStart w:id="35" w:name="figura-2-ratio-r_t-con-umbral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Figura 2, Ratio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 umbral 1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Ratio de tensión operativa R_t = G_t / I_t (umbral 1,0)." title="" id="33" name="Picture"/>
            <a:graphic>
              <a:graphicData uri="http://schemas.openxmlformats.org/drawingml/2006/picture">
                <pic:pic>
                  <pic:nvPicPr>
                    <pic:cNvPr descr="estados_Contables_caja_fiscal_vGPT_files/figure-docx/fig-ratio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Ratio de tensión operativa R_t = G_t / I_t (umbral 1,0).</w:t>
      </w:r>
    </w:p>
    <w:bookmarkEnd w:id="35"/>
    <w:bookmarkStart w:id="39" w:name="figura-3-brecha-anual-ga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Figura 3, Brecha anual (gap)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Brecha anual de financiamiento (G_t - I_t), en millones de Gs." title="" id="37" name="Picture"/>
            <a:graphic>
              <a:graphicData uri="http://schemas.openxmlformats.org/drawingml/2006/picture">
                <pic:pic>
                  <pic:nvPicPr>
                    <pic:cNvPr descr="estados_Contables_caja_fiscal_vGPT_files/figure-docx/fig-gap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Brecha anual de financiamiento (G_t - I_t), en millones de Gs.</w:t>
      </w:r>
    </w:p>
    <w:bookmarkEnd w:id="39"/>
    <w:bookmarkEnd w:id="40"/>
    <w:bookmarkStart w:id="43" w:name="métricas-de-estré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Métricas de estrés</w:t>
      </w:r>
    </w:p>
    <w:bookmarkStart w:id="41" w:name="X55ff6d16de13ddef24c5a70cd11550957402bc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Crecimiento interanual del ingreso y del gasto</w:t>
      </w:r>
    </w:p>
    <w:p>
      <w:pPr>
        <w:pStyle w:val="TableCaption"/>
      </w:pPr>
      <w:r>
        <w:t xml:space="preserve">Crecimiento interanual del ingreso y del gasto.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cimiento interanual del ingreso y del gast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gasto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10,4%</w:t>
            </w:r>
          </w:p>
        </w:tc>
      </w:tr>
    </w:tbl>
    <w:bookmarkEnd w:id="41"/>
    <w:bookmarkStart w:id="42" w:name="clasificación-del-déficit-relativo-d_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Clasificación del déficit relativo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</w:p>
    <w:p>
      <w:pPr>
        <w:pStyle w:val="TableCaption"/>
      </w:pPr>
      <w:r>
        <w:t xml:space="preserve">Clasificación del déficit relativo al ingreso.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ificación del déficit relativo al ingres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Déficit/Ingreso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estrés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(menos de 10%)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(más de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(más de 60%)</w:t>
            </w:r>
          </w:p>
        </w:tc>
      </w:tr>
    </w:tbl>
    <w:bookmarkEnd w:id="42"/>
    <w:bookmarkEnd w:id="43"/>
    <w:bookmarkStart w:id="50" w:name="integración-con-cuadros-dic-pdf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Integración con Cuadros DIC (PDF)</w:t>
      </w:r>
    </w:p>
    <w:p>
      <w:pPr>
        <w:pStyle w:val="FirstParagraph"/>
      </w:pPr>
      <w:r>
        <w:t xml:space="preserve">En el DOCX observado, la extracción por</w:t>
      </w:r>
      <w:r>
        <w:t xml:space="preserve"> </w:t>
      </w:r>
      <w:r>
        <w:rPr>
          <w:rStyle w:val="VerbatimChar"/>
        </w:rPr>
        <w:t xml:space="preserve">tabulizer</w:t>
      </w:r>
      <w:r>
        <w:t xml:space="preserve"> </w:t>
      </w:r>
      <w:r>
        <w:t xml:space="preserve">no produjo tablas (estado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lo cual es consistente con entornos sin Java o sin dependencias del paquete. A fin de evitar que secciones queden vacías, este informe aplica el siguiente criterio:</w:t>
      </w:r>
    </w:p>
    <w:p>
      <w:pPr>
        <w:pStyle w:val="Compact"/>
        <w:numPr>
          <w:ilvl w:val="0"/>
          <w:numId w:val="100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tabulizer</w:t>
      </w:r>
      <w:r>
        <w:t xml:space="preserve"> </w:t>
      </w:r>
      <w:r>
        <w:t xml:space="preserve">está disponible y extrae tablas, se imprimen tablas estructuradas.</w:t>
      </w:r>
    </w:p>
    <w:p>
      <w:pPr>
        <w:pStyle w:val="Compact"/>
        <w:numPr>
          <w:ilvl w:val="0"/>
          <w:numId w:val="1004"/>
        </w:numPr>
      </w:pPr>
      <w:r>
        <w:t xml:space="preserve">En caso contrario, se imprime un</w:t>
      </w:r>
      <w:r>
        <w:t xml:space="preserve"> </w:t>
      </w:r>
      <w:r>
        <w:rPr>
          <w:b/>
          <w:bCs/>
        </w:rPr>
        <w:t xml:space="preserve">extracto tabular de texto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pdftools</w:t>
      </w:r>
      <w:r>
        <w:t xml:space="preserve">, garantizando que se genere una tabla en Word.</w:t>
      </w:r>
    </w:p>
    <w:p>
      <w:pPr>
        <w:pStyle w:val="TableCaption"/>
      </w:pPr>
      <w:r>
        <w:t xml:space="preserve">Estado de lectura de PDFs (existencia y extracción con tabulizer).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do de lectura de PDFs (existencia y extracción con tabulizer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Tabulizer extrae tabla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FISCAL/cuadro_1_dic.pdf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FISCAL/cuadro_2_dic.pdf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FISCAL/cuadro_4_dic.pdf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FISCAL/cuadro_6_dic.pdf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Start w:id="44" w:name="X0d18ab9817aeab0ba762d5e754f9c9232ace646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Cuadro 2 (DIC), Ingresos por concepto y sector</w:t>
      </w:r>
    </w:p>
    <w:p>
      <w:pPr>
        <w:pStyle w:val="TableCaption"/>
      </w:pPr>
      <w:r>
        <w:t xml:space="preserve">Cuadro 2 DIC, extracto textual (fallback pdftools).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uadro 2 DIC, extracto textual (fallback pdftools).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POR CONCEPTO Y SECTOR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DENOMINACION FUERZAS ARMADAS 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Aportes Jubilatorio 1.145.734.968.737 96.631.916.937 1.171.792.374.726 147.940.155.728 214.328.657.585 378.026.404.235 3.154.454.477.948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Ley 6085 27.982.474.825 - - - - - 27.982.474.825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Reconoc.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1.217.113.031.550 104.650.360.338 1.217.097.648.759 152.360.049.477 222.958.152.665 399.713.289.406 3.313.892.532.195</w:t>
            </w:r>
          </w:p>
        </w:tc>
      </w:tr>
    </w:tbl>
    <w:bookmarkEnd w:id="44"/>
    <w:bookmarkStart w:id="45" w:name="cuadro-6-dic-beneficiarios-stock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Cuadro 6 (DIC), Beneficiarios (stock)</w:t>
      </w:r>
    </w:p>
    <w:p>
      <w:pPr>
        <w:pStyle w:val="TableCaption"/>
      </w:pPr>
      <w:r>
        <w:t xml:space="preserve">Cuadro 6 DIC, extracto textual (fallback pdftools).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uadro 6 DIC, extracto textual (fallback pdftools).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Beneficios al 30 de Diciembre 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JUBILACIÓN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JUBILADOS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71.092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HEREDEROS O PENSIONADOS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12.345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Beneficiarios Activos al 31 de Diciembre 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*Corresponde a la cantidad de beneficiarios activos que poseen 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de Jubilación y Pensión</w:t>
            </w:r>
          </w:p>
        </w:tc>
      </w:tr>
    </w:tbl>
    <w:bookmarkEnd w:id="45"/>
    <w:bookmarkStart w:id="49" w:name="cuadro-4-dic-inversiones-e-interes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Cuadro 4 (DIC), Inversiones e intereses</w:t>
      </w:r>
    </w:p>
    <w:bookmarkStart w:id="46" w:name="propósito-del-cuadro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Propósito del cuadro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Cuadro 4 (DIC)</w:t>
      </w:r>
      <w:r>
        <w:t xml:space="preserve"> </w:t>
      </w:r>
      <w:r>
        <w:t xml:space="preserve">describe la</w:t>
      </w:r>
      <w:r>
        <w:t xml:space="preserve"> </w:t>
      </w:r>
      <w:r>
        <w:rPr>
          <w:b/>
          <w:bCs/>
        </w:rPr>
        <w:t xml:space="preserve">cartera de colocaciones financieras</w:t>
      </w:r>
      <w:r>
        <w:t xml:space="preserve"> </w:t>
      </w:r>
      <w:r>
        <w:t xml:space="preserve">gestionadas en el periodo, detallando para cada operación, el</w:t>
      </w:r>
      <w:r>
        <w:t xml:space="preserve"> </w:t>
      </w:r>
      <w:r>
        <w:rPr>
          <w:b/>
          <w:bCs/>
        </w:rPr>
        <w:t xml:space="preserve">instrumento</w:t>
      </w:r>
      <w:r>
        <w:t xml:space="preserve">,</w:t>
      </w:r>
      <w:r>
        <w:t xml:space="preserve"> </w:t>
      </w:r>
      <w:r>
        <w:rPr>
          <w:b/>
          <w:bCs/>
        </w:rPr>
        <w:t xml:space="preserve">plazo</w:t>
      </w:r>
      <w:r>
        <w:t xml:space="preserve">,</w:t>
      </w:r>
      <w:r>
        <w:t xml:space="preserve"> </w:t>
      </w:r>
      <w:r>
        <w:rPr>
          <w:b/>
          <w:bCs/>
        </w:rPr>
        <w:t xml:space="preserve">vencimiento</w:t>
      </w:r>
      <w:r>
        <w:t xml:space="preserve">,</w:t>
      </w:r>
      <w:r>
        <w:t xml:space="preserve"> </w:t>
      </w:r>
      <w:r>
        <w:rPr>
          <w:b/>
          <w:bCs/>
        </w:rPr>
        <w:t xml:space="preserve">tasa</w:t>
      </w:r>
      <w:r>
        <w:t xml:space="preserve">,</w:t>
      </w:r>
      <w:r>
        <w:t xml:space="preserve"> </w:t>
      </w:r>
      <w:r>
        <w:rPr>
          <w:b/>
          <w:bCs/>
        </w:rPr>
        <w:t xml:space="preserve">monto invertido</w:t>
      </w:r>
      <w:r>
        <w:t xml:space="preserve">, y los</w:t>
      </w:r>
      <w:r>
        <w:t xml:space="preserve"> </w:t>
      </w:r>
      <w:r>
        <w:rPr>
          <w:b/>
          <w:bCs/>
        </w:rPr>
        <w:t xml:space="preserve">intereses reconocidos y cobrados</w:t>
      </w:r>
      <w:r>
        <w:t xml:space="preserve">. Este cuadro permite dimensionar en qué medida los</w:t>
      </w:r>
      <w:r>
        <w:t xml:space="preserve"> </w:t>
      </w:r>
      <w:r>
        <w:rPr>
          <w:b/>
          <w:bCs/>
        </w:rPr>
        <w:t xml:space="preserve">retornos financieros</w:t>
      </w:r>
      <w:r>
        <w:t xml:space="preserve"> </w:t>
      </w:r>
      <w:r>
        <w:t xml:space="preserve">contribuyen al financiamiento del sistema, frente a déficits operativos anuales.</w:t>
      </w:r>
    </w:p>
    <w:bookmarkEnd w:id="46"/>
    <w:bookmarkStart w:id="47" w:name="nota-metodológica-de-lectura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Nota metodológica de lectura</w:t>
      </w:r>
    </w:p>
    <w:p>
      <w:pPr>
        <w:pStyle w:val="Compact"/>
        <w:numPr>
          <w:ilvl w:val="0"/>
          <w:numId w:val="1005"/>
        </w:numPr>
      </w:pPr>
      <w:r>
        <w:t xml:space="preserve">Las cifras del cuadro se presentan en</w:t>
      </w:r>
      <w:r>
        <w:t xml:space="preserve"> </w:t>
      </w:r>
      <w:r>
        <w:rPr>
          <w:b/>
          <w:bCs/>
        </w:rPr>
        <w:t xml:space="preserve">guaraníes</w:t>
      </w:r>
      <w:r>
        <w:t xml:space="preserve"> </w:t>
      </w:r>
      <w:r>
        <w:t xml:space="preserve">y, conforme al encabezado del propio cuadro, los</w:t>
      </w:r>
      <w:r>
        <w:t xml:space="preserve"> </w:t>
      </w:r>
      <w:r>
        <w:rPr>
          <w:b/>
          <w:bCs/>
        </w:rPr>
        <w:t xml:space="preserve">intereses</w:t>
      </w:r>
      <w:r>
        <w:t xml:space="preserve"> </w:t>
      </w:r>
      <w:r>
        <w:t xml:space="preserve">se informan en</w:t>
      </w:r>
      <w:r>
        <w:t xml:space="preserve"> </w:t>
      </w:r>
      <w:r>
        <w:rPr>
          <w:b/>
          <w:bCs/>
        </w:rPr>
        <w:t xml:space="preserve">millones de guaraníes</w:t>
      </w:r>
      <w:r>
        <w:t xml:space="preserve"> </w:t>
      </w:r>
      <w:r>
        <w:t xml:space="preserve">cuando el PDF así lo indique. En el fallback textual, los montos se capturan como aparecen en el PDF.</w:t>
      </w:r>
    </w:p>
    <w:p>
      <w:pPr>
        <w:pStyle w:val="Compact"/>
        <w:numPr>
          <w:ilvl w:val="0"/>
          <w:numId w:val="1005"/>
        </w:numPr>
      </w:pPr>
      <w:r>
        <w:t xml:space="preserve">La extracción automática puede sufrir</w:t>
      </w:r>
      <w:r>
        <w:t xml:space="preserve"> </w:t>
      </w:r>
      <w:r>
        <w:rPr>
          <w:b/>
          <w:bCs/>
        </w:rPr>
        <w:t xml:space="preserve">pérdidas de estructura</w:t>
      </w:r>
      <w:r>
        <w:t xml:space="preserve"> </w:t>
      </w:r>
      <w:r>
        <w:t xml:space="preserve">(saltos de línea y espaciado) propias del formato PDF, por lo cual se incluye una columna de trazabilidad (</w:t>
      </w:r>
      <w:r>
        <w:rPr>
          <w:rStyle w:val="VerbatimChar"/>
        </w:rPr>
        <w:t xml:space="preserve">linea_origen</w:t>
      </w:r>
      <w:r>
        <w:t xml:space="preserve">) en la tabla de operaciones.</w:t>
      </w:r>
    </w:p>
    <w:p>
      <w:pPr>
        <w:pStyle w:val="TableCaption"/>
      </w:pPr>
      <w:r>
        <w:t xml:space="preserve">Cuadro 4 DIC, extracto textual (fallback pdftools).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uadro 4 DIC, extracto textual (fallback pdftools).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INTERESES PERCIBIDOS (En millones de guaraníes)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 Intereses Percibidos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 Total 861.333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total de los intereses percibidos desde el año 2014 al 2025 asciende a la suma de G. 1,5 billones.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Anual de la Inversiones de la DGJP 2013-2025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DE FECHA DE LA TASA 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INVERSIÓN PLAZO VENCIMIENTO MONTO INVERTIDO TOTAL INTERESES INTERESES COBRADOS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OPERACIÓN INTERES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1° BONOS AFD 27/12/2013 3 años 27/12/2016 7,5% 200.000.000.000 45.000.000.000 45.000.000.000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2° BONOS AFD 18/11/2014 3 años 21/11/2017 6,5% 300.000.000.000 58.500.000.000 58.500.000.000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3° BONOS AFD 24/12/2015 4 años 27/12/2019 6,2% 300.000.000.000 74.400.000.000 74.400.000.000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4° BONOS AFD 22/12/2016 5 años 22/12/2021 6,2% 350.000.000.000 108.559.452.055 108.559.452.055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5° BONOS AFD 25/10/2017 5 años 25/10/2022 6,2% 300.000.000.000 93.050.958.904 93.050.958.904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6° BONOS AFD 12/12/2017 5 años 12/12/2022 6,2% 100.000.000.000 31.016.986.301 31.016.986.301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7° BONOS AFD 17/4/2018 5 años 17/4/2023 6,2% 200.000.000.000 62.033.972.601 62.033.972.601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8° BONOS AFD 22/11/2018 3 años 22/11/2021 6,2% 200.000.000.000 37.233.972.604 37.233.972.604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9° BONOS AFD 25/7/2019 4 años 25/7/2023 6,3% 200.000.000.000 50.434.520.548 50.434.520.548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13° BONOS AFD 19/12/2019 3 años 19/12/2022 6,3% 400.000.000.000 75.669.041.096 75.669.041.096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14° BONOS AFD 22/12/2020 3 años 22/12/2023 5,3% 200.000.000.000 31.800.000.000 31.800.000.000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17° BONOS AFD 28/9/2021 3 años 30/9/2024 4.7% 110.000.000.000 15.552.493.151 15.552.493.151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TOTALES 7.690.000.000.000 2.362.274.966.405 1.513.004.751.532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Las cifras en celeste corresponden a los montos invertidos cuyo capital ya fue recuperado y los intereses cobrados en su totalidad. Las inversiones fueron colocadas en moneda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(Guaraníes) y los intereses y recuperaciones de capital depositados en las cuentas recaudadoras de la Dirección General de Jubilaciones y Pensiones.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Intereses cobrados corresponden hasta el 31 de diciembre de 2025</w:t>
            </w:r>
          </w:p>
        </w:tc>
      </w:tr>
    </w:tbl>
    <w:bookmarkEnd w:id="47"/>
    <w:bookmarkStart w:id="48" w:name="interpretación-técnica-y-aclaraciones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Interpretación técnica y aclaraciones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 y suficiencia</w:t>
      </w:r>
      <w:r>
        <w:t xml:space="preserve">. Aun con intereses positivos, la magnitud de los retornos financieros debe compararse contra el</w:t>
      </w:r>
      <w:r>
        <w:t xml:space="preserve"> </w:t>
      </w:r>
      <w:r>
        <w:rPr>
          <w:b/>
          <w:bCs/>
        </w:rPr>
        <w:t xml:space="preserve">gap anual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. En sistemas con déficit estructural, el rendimiento financiero suele ser</w:t>
      </w:r>
      <w:r>
        <w:t xml:space="preserve"> </w:t>
      </w:r>
      <w:r>
        <w:rPr>
          <w:b/>
          <w:bCs/>
        </w:rPr>
        <w:t xml:space="preserve">insuficiente</w:t>
      </w:r>
      <w:r>
        <w:t xml:space="preserve"> </w:t>
      </w:r>
      <w:r>
        <w:t xml:space="preserve">para cerrar brechas persistentes.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Intereses totales vs intereses cobrados</w:t>
      </w:r>
      <w:r>
        <w:t xml:space="preserve">. El cuadro distingue entre montos</w:t>
      </w:r>
      <w:r>
        <w:t xml:space="preserve"> </w:t>
      </w:r>
      <w:r>
        <w:rPr>
          <w:b/>
          <w:bCs/>
        </w:rPr>
        <w:t xml:space="preserve">reconocidos</w:t>
      </w:r>
      <w:r>
        <w:t xml:space="preserve"> </w:t>
      </w:r>
      <w:r>
        <w:t xml:space="preserve">(totales) y montos</w:t>
      </w:r>
      <w:r>
        <w:t xml:space="preserve"> </w:t>
      </w:r>
      <w:r>
        <w:rPr>
          <w:b/>
          <w:bCs/>
        </w:rPr>
        <w:t xml:space="preserve">efectivamente cobrados</w:t>
      </w:r>
      <w:r>
        <w:t xml:space="preserve"> </w:t>
      </w:r>
      <w:r>
        <w:t xml:space="preserve">a la fecha de corte. Esta distinción es crítica para análisis de</w:t>
      </w:r>
      <w:r>
        <w:t xml:space="preserve"> </w:t>
      </w:r>
      <w:r>
        <w:rPr>
          <w:b/>
          <w:bCs/>
        </w:rPr>
        <w:t xml:space="preserve">liquidez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Capital recuperado</w:t>
      </w:r>
      <w:r>
        <w:t xml:space="preserve">. Si el cuadro señala operaciones cuyo</w:t>
      </w:r>
      <w:r>
        <w:t xml:space="preserve"> </w:t>
      </w:r>
      <w:r>
        <w:rPr>
          <w:b/>
          <w:bCs/>
        </w:rPr>
        <w:t xml:space="preserve">capital ya fue recuperado</w:t>
      </w:r>
      <w:r>
        <w:t xml:space="preserve">, la interpretación es que el flujo de intereses asociado se encuentra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realizado</w:t>
      </w:r>
      <w:r>
        <w:t xml:space="preserve"> </w:t>
      </w:r>
      <w:r>
        <w:t xml:space="preserve">hasta el vencimiento, lo que afecta la proyección de ingresos financieros futuros.</w:t>
      </w:r>
    </w:p>
    <w:p>
      <w:pPr>
        <w:pStyle w:val="BlockText"/>
      </w:pPr>
      <w:r>
        <w:t xml:space="preserve">Recomendación operativa: si se requiere un análisis financiero detallado, complementar este cuadro con una serie temporal de cartera (saldo de capital al cierre por instrumento) para derivar tasas efectivas y duración promedio.</w:t>
      </w:r>
    </w:p>
    <w:bookmarkEnd w:id="48"/>
    <w:bookmarkEnd w:id="49"/>
    <w:bookmarkEnd w:id="50"/>
    <w:bookmarkStart w:id="55" w:name="relato-cronológico-versión-técnica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Relato cronológico, versión técnica</w:t>
      </w:r>
    </w:p>
    <w:bookmarkStart w:id="51" w:name="gestación-y-alerta-tempran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2015–2016, gestación y alerta temprana</w:t>
      </w:r>
    </w:p>
    <w:p>
      <w:pPr>
        <w:pStyle w:val="FirstParagraph"/>
      </w:pPr>
      <w:r>
        <w:t xml:space="preserve">Desde el inicio del periodo, se verifica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y una brecha</w:t>
      </w:r>
      <w:r>
        <w:t xml:space="preserve"> </w:t>
      </w:r>
      <m:oMath>
        <m:sSub>
          <m:e>
            <m:r>
              <m:rPr>
                <m:nor/>
                <m:sty m:val="p"/>
              </m:rPr>
              <m:t>Gap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positiva. La identidad operativa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Financiamiento requerido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bookmarkEnd w:id="51"/>
    <w:bookmarkStart w:id="52" w:name="profundización-del-descalc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2017–2019, profundización del descalce</w:t>
      </w:r>
    </w:p>
    <w:p>
      <w:pPr>
        <w:pStyle w:val="FirstParagraph"/>
      </w:pPr>
      <w:r>
        <w:t xml:space="preserve">El patrón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se repite, incrementando el déficit relativo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y elevando la presión sobre financiamiento complementario.</w:t>
      </w:r>
    </w:p>
    <w:bookmarkEnd w:id="52"/>
    <w:bookmarkStart w:id="53" w:name="shock-y-exposició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2020–2022, shock y exposición</w:t>
      </w:r>
    </w:p>
    <w:p>
      <w:pPr>
        <w:pStyle w:val="FirstParagraph"/>
      </w:pPr>
      <w:r>
        <w:t xml:space="preserve">El shock amplifica un sistema ya deficitario. El deterioro transita de déficit estructural a tensión de liquidez cuando la brecha anual crece y los colchones financieros se reducen.</w:t>
      </w:r>
    </w:p>
    <w:bookmarkEnd w:id="53"/>
    <w:bookmarkStart w:id="54" w:name="fase-crítica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2023–2025, fase crítica</w:t>
      </w:r>
    </w:p>
    <w:p>
      <w:pPr>
        <w:pStyle w:val="FirstParagraph"/>
      </w:pPr>
      <w:r>
        <w:t xml:space="preserve">El periodo reciente exhibe incrementos pronunciados en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y valores de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 rango crítico, coherente con un sistema que requiere financiamiento sustantivo y sostenido para cumplir obligaciones.</w:t>
      </w:r>
    </w:p>
    <w:bookmarkEnd w:id="54"/>
    <w:bookmarkEnd w:id="55"/>
    <w:bookmarkStart w:id="56" w:name="conclusión-técnica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Conclusión técnica</w:t>
      </w:r>
    </w:p>
    <w:p>
      <w:pPr>
        <w:pStyle w:val="FirstParagraph"/>
      </w:pPr>
      <w:r>
        <w:t xml:space="preserve">El periodo 2015–2025 evidencia que el gasto previsional excede de manera sistemática al ingreso contributivo, con aceleración reciente que eleva el déficit relativo al ingreso a niveles críticos. La evidencia se resume en:</w:t>
      </w:r>
    </w:p>
    <w:p>
      <w:pPr>
        <w:pStyle w:val="Compact"/>
        <w:numPr>
          <w:ilvl w:val="0"/>
          <w:numId w:val="1007"/>
        </w:numPr>
      </w:pPr>
      <w:r>
        <w:t xml:space="preserve">Persistencia y aumento del ratio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Expansión del déficit relativo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Complemento operativo de los cuadros DIC, incluso cuando solo se dispone de extractos textuales por limitaciones del entorno.</w:t>
      </w:r>
    </w:p>
    <w:bookmarkEnd w:id="56"/>
    <w:bookmarkStart w:id="57" w:name="nota-de-responsabilidades-y-limitacion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Nota de responsabilidades y limitaciones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Fuentes y alcance</w:t>
      </w:r>
      <w:r>
        <w:t xml:space="preserve">. Este documento se elabora exclusivamente con insumos provistos (CSV estructurado) y documentos oficiales referenciados (PDFs DIC). No sustituye dictámenes legales, auditorías o peritajes contables.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Extracción de PDFs</w:t>
      </w:r>
      <w:r>
        <w:t xml:space="preserve">. Cuando</w:t>
      </w:r>
      <w:r>
        <w:t xml:space="preserve"> </w:t>
      </w:r>
      <w:r>
        <w:rPr>
          <w:rStyle w:val="VerbatimChar"/>
        </w:rPr>
        <w:t xml:space="preserve">tabulizer</w:t>
      </w:r>
      <w:r>
        <w:t xml:space="preserve"> </w:t>
      </w:r>
      <w:r>
        <w:t xml:space="preserve">no está disponible o no logra reconstruir tablas, se utiliza un fallback con</w:t>
      </w:r>
      <w:r>
        <w:t xml:space="preserve"> </w:t>
      </w:r>
      <w:r>
        <w:rPr>
          <w:rStyle w:val="VerbatimChar"/>
        </w:rPr>
        <w:t xml:space="preserve">pdftools</w:t>
      </w:r>
      <w:r>
        <w:t xml:space="preserve"> </w:t>
      </w:r>
      <w:r>
        <w:t xml:space="preserve">y parsing por expresiones regulares. Esta aproximación puede introducir</w:t>
      </w:r>
      <w:r>
        <w:t xml:space="preserve"> </w:t>
      </w:r>
      <w:r>
        <w:rPr>
          <w:b/>
          <w:bCs/>
        </w:rPr>
        <w:t xml:space="preserve">errores de segmentación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pérdida de alineación</w:t>
      </w:r>
      <w:r>
        <w:t xml:space="preserve"> </w:t>
      </w:r>
      <w:r>
        <w:t xml:space="preserve">típica de PDFs, por lo cual se incorpora trazabilidad (</w:t>
      </w:r>
      <w:r>
        <w:rPr>
          <w:rStyle w:val="VerbatimChar"/>
        </w:rPr>
        <w:t xml:space="preserve">linea_origen</w:t>
      </w:r>
      <w:r>
        <w:t xml:space="preserve">) y se recomienda verificación puntual contra el documento original.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Unidades y redondeos</w:t>
      </w:r>
      <w:r>
        <w:t xml:space="preserve">. Las cifras se presentan en las unidades informadas por los documentos fuente. En tablas y gráficos pueden existir redondeos derivados de la representación numérica. Para decisiones operativas o normativas, se recomienda utilizar valores completos y conciliados.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Interpretación</w:t>
      </w:r>
      <w:r>
        <w:t xml:space="preserve">. Las interpretaciones son de carácter técnico y se basan en identidades contables y ratios descriptivos. Cualquier inferencia causal o recomendación de política pública requiere análisis complementario (normativo, actuarial y de gobernanza).</w:t>
      </w:r>
    </w:p>
    <w:bookmarkEnd w:id="57"/>
    <w:bookmarkStart w:id="58" w:name="referencia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Referencias</w:t>
      </w:r>
    </w:p>
    <w:p>
      <w:pPr>
        <w:numPr>
          <w:ilvl w:val="0"/>
          <w:numId w:val="1009"/>
        </w:numPr>
      </w:pPr>
      <w:r>
        <w:t xml:space="preserve">Ministerio de Economía y Finanzas (MEF), Paraguay. Informes Financieros Anuales.</w:t>
      </w:r>
      <w:r>
        <w:br/>
      </w:r>
      <w:r>
        <w:rPr>
          <w:rStyle w:val="VerbatimChar"/>
        </w:rPr>
        <w:t xml:space="preserve">https://www.mef.gov.py/es/dependencias/viceministerio-de-administracion-financiera/gerencia-de-gestion-financiera-del-estado/direccion-general-del-tesoro-publico/direccion-general-contabilid/direccion-general-contabilidad-publica-informes-financieros-anuales</w:t>
      </w:r>
    </w:p>
    <w:p>
      <w:pPr>
        <w:numPr>
          <w:ilvl w:val="0"/>
          <w:numId w:val="1009"/>
        </w:numPr>
      </w:pPr>
      <w:r>
        <w:t xml:space="preserve">Ministerio de Economía y Finanzas (MEF), Paraguay. Situación de la Caja Fiscal.</w:t>
      </w:r>
      <w:r>
        <w:br/>
      </w:r>
      <w:r>
        <w:rPr>
          <w:rStyle w:val="VerbatimChar"/>
        </w:rPr>
        <w:t xml:space="preserve">https://www.mef.gov.py/es/situacion-caja-fiscal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Exhaustivo de la Crisis Previsional, Crónica Técnica de un Colapso Anunciado en la Caja Fiscal (2015–2025)</dc:title>
  <dc:creator>Departamento de Estudios Financieros y Actuariales</dc:creator>
  <cp:keywords/>
  <dcterms:created xsi:type="dcterms:W3CDTF">2026-02-02T13:21:33Z</dcterms:created>
  <dcterms:modified xsi:type="dcterms:W3CDTF">2026-02-02T13:21:33Z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02/02/2026</vt:lpwstr>
  </property>
  <property fmtid="{D5CDD505-2E9C-101B-9397-08002B2CF9AE}" pid="3" name="output">
    <vt:lpwstr/>
  </property>
  <property fmtid="{D5CDD505-2E9C-101B-9397-08002B2CF9AE}" pid="4" name="params">
    <vt:lpwstr/>
  </property>
</Properties>
</file>