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FDD64" w14:textId="6E3E6A5B" w:rsidR="006B4F47" w:rsidRPr="000474F2" w:rsidRDefault="006B4F47" w:rsidP="000474F2">
      <w:pPr>
        <w:pStyle w:val="Ttulo1"/>
        <w:jc w:val="center"/>
      </w:pPr>
      <w:r w:rsidRPr="000474F2">
        <w:t>Colaboración Técnica OIT – IPS</w:t>
      </w:r>
    </w:p>
    <w:p w14:paraId="0FC62EDE" w14:textId="0096672D" w:rsidR="000474F2" w:rsidRDefault="000474F2" w:rsidP="000474F2">
      <w:pPr>
        <w:pStyle w:val="Ttulo2"/>
        <w:jc w:val="center"/>
      </w:pPr>
      <w:r>
        <w:t>Sesión 1: Revisión de la variable fertilidad y su estimación.</w:t>
      </w:r>
    </w:p>
    <w:p w14:paraId="2500E4D8" w14:textId="44F63659" w:rsidR="007914A4" w:rsidRPr="007914A4" w:rsidRDefault="007914A4" w:rsidP="007914A4">
      <w:pPr>
        <w:pStyle w:val="Ttulo3"/>
        <w:jc w:val="center"/>
      </w:pPr>
      <w:r>
        <w:t>(5 de mayo de 2021)</w:t>
      </w:r>
    </w:p>
    <w:p w14:paraId="3C65CC77" w14:textId="77777777" w:rsidR="000474F2" w:rsidRDefault="000474F2" w:rsidP="00FD5FE9">
      <w:pPr>
        <w:jc w:val="both"/>
      </w:pPr>
    </w:p>
    <w:p w14:paraId="1EBA248C" w14:textId="6DDE99FB" w:rsidR="00FD5FE9" w:rsidRDefault="00FD5FE9" w:rsidP="00FD5FE9">
      <w:pPr>
        <w:jc w:val="both"/>
      </w:pPr>
      <w:r>
        <w:t xml:space="preserve">De acuerdo con Caros </w:t>
      </w:r>
      <w:proofErr w:type="spellStart"/>
      <w:r>
        <w:t>Welti</w:t>
      </w:r>
      <w:proofErr w:type="spellEnd"/>
      <w:r>
        <w:t>,</w:t>
      </w:r>
      <w:r w:rsidR="00BE6CE6">
        <w:rPr>
          <w:rStyle w:val="Refdenotaalpie"/>
        </w:rPr>
        <w:footnoteReference w:id="1"/>
      </w:r>
      <w:r>
        <w:t xml:space="preserve"> la fecundidad se define como la capacidad efectiva de una mujer, un hombre o una pareja, de “producir” un nacimiento, restringiendo el concepto al de fecundidad efectiva, cuando se refiere a un nacido vivo. Por otro lado, la natalidad refiere a la “producción” de nacimientos por toda la población.</w:t>
      </w:r>
    </w:p>
    <w:p w14:paraId="6618CE2C" w14:textId="77777777" w:rsidR="00FD5FE9" w:rsidRDefault="00FD5FE9" w:rsidP="00FD5FE9">
      <w:pPr>
        <w:jc w:val="both"/>
      </w:pPr>
      <w:r>
        <w:t>De esta forma, podemos decir que la fecundidad se relaciona con la cantidad de hijos que cada mujer tiene a lo largo de su vida fértil, mientras que la natalidad se vincula con la cantidad de nacimientos ocurridos en un lapso, en una población, con relación al total de personas que componen dicha población.</w:t>
      </w:r>
    </w:p>
    <w:p w14:paraId="60AA5A7B" w14:textId="77777777" w:rsidR="00FD5FE9" w:rsidRDefault="00FD5FE9" w:rsidP="00FD5FE9">
      <w:pPr>
        <w:jc w:val="both"/>
      </w:pPr>
      <w:r>
        <w:t>Por su parte el concepto de fertilidad tiene relación con la capacidad biológica de una mujer, hombre o pareja, de engendrar un hijo.</w:t>
      </w:r>
    </w:p>
    <w:p w14:paraId="025DFB20" w14:textId="77777777" w:rsidR="00FD5FE9" w:rsidRDefault="00FD5FE9" w:rsidP="00FD5FE9">
      <w:pPr>
        <w:jc w:val="both"/>
      </w:pPr>
      <w:r>
        <w:t>Con la finalidad de no confundir los conceptos de fecundidad y fertilidad, se puede señalar que el primer concepto refiere al resultado efectivo de la procreación, mientras que el segundo, refiere específicamente a la capacidad de procrear, por ejemplo: Una mujer fértil podría elegir no tener hijos y seguir siendo considerada fértil, aunque su fecundidad sea cero.</w:t>
      </w:r>
    </w:p>
    <w:p w14:paraId="6A77B751" w14:textId="59FA1865" w:rsidR="00FD1ABA" w:rsidRDefault="008F3E87" w:rsidP="00FD5FE9">
      <w:pPr>
        <w:jc w:val="both"/>
      </w:pPr>
      <w:r>
        <w:t>Por lo anterior, en el modelo de proyección de la fuerza de trabajo que la Organización Internacional del Trabajo (OIT) recomienda,</w:t>
      </w:r>
      <w:r w:rsidR="006B4F47">
        <w:rPr>
          <w:rStyle w:val="Refdenotaalpie"/>
        </w:rPr>
        <w:footnoteReference w:id="2"/>
      </w:r>
      <w:r>
        <w:t xml:space="preserve"> la fertilidad, junto con la mortalidad y la migración, son las tres variables que permiten proyectar de manera general a la población de un país, bajo la premisa de que la población asegurada de forma directa por instituciones como el Instituto de Previsión Social (IPS) de Paraguay, es un subconjunto de la población total</w:t>
      </w:r>
      <w:r w:rsidR="006B4F47">
        <w:t>.</w:t>
      </w:r>
    </w:p>
    <w:p w14:paraId="375F49E6" w14:textId="2F083E99" w:rsidR="006B4F47" w:rsidRDefault="006B4F47" w:rsidP="00FD5FE9">
      <w:pPr>
        <w:jc w:val="both"/>
      </w:pPr>
      <w:r>
        <w:t>Con base en la información revisada en la video sesión del 5 de mayo, sobre las estimaciones de fertilidad para el horizonte de estudio de la valuación actuarial, el equipo consultor llevó a cabo el siguiente procedimiento:</w:t>
      </w:r>
    </w:p>
    <w:p w14:paraId="3EE38C5B" w14:textId="77777777" w:rsidR="006B4F47" w:rsidRDefault="006B4F47" w:rsidP="006B4F47">
      <w:pPr>
        <w:pStyle w:val="Prrafodelista"/>
        <w:numPr>
          <w:ilvl w:val="0"/>
          <w:numId w:val="1"/>
        </w:numPr>
        <w:jc w:val="both"/>
      </w:pPr>
      <w:r>
        <w:t>Se corroboró la información histórica de la TGF del año 2001 al año base 2020 publicada por el Instituto Nacional de Estadística:</w:t>
      </w:r>
    </w:p>
    <w:p w14:paraId="3A8C4890" w14:textId="77777777" w:rsidR="006B4F47" w:rsidRDefault="006B4F47" w:rsidP="006B4F47">
      <w:pPr>
        <w:pStyle w:val="Prrafodelista"/>
      </w:pPr>
      <w:r>
        <w:rPr>
          <w:noProof/>
        </w:rPr>
        <w:lastRenderedPageBreak/>
        <w:drawing>
          <wp:anchor distT="0" distB="0" distL="114300" distR="114300" simplePos="0" relativeHeight="251661312" behindDoc="0" locked="0" layoutInCell="1" allowOverlap="1" wp14:anchorId="57C6A2CA" wp14:editId="7A5FF852">
            <wp:simplePos x="0" y="0"/>
            <wp:positionH relativeFrom="column">
              <wp:posOffset>2209165</wp:posOffset>
            </wp:positionH>
            <wp:positionV relativeFrom="paragraph">
              <wp:posOffset>110490</wp:posOffset>
            </wp:positionV>
            <wp:extent cx="1564005" cy="3073400"/>
            <wp:effectExtent l="0" t="0" r="0" b="0"/>
            <wp:wrapThrough wrapText="bothSides">
              <wp:wrapPolygon edited="0">
                <wp:start x="0" y="0"/>
                <wp:lineTo x="0" y="21421"/>
                <wp:lineTo x="21311" y="21421"/>
                <wp:lineTo x="2131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3555"/>
                    <a:stretch/>
                  </pic:blipFill>
                  <pic:spPr bwMode="auto">
                    <a:xfrm>
                      <a:off x="0" y="0"/>
                      <a:ext cx="1564005" cy="30734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32C89D6C" w14:textId="77777777" w:rsidR="006B4F47" w:rsidRDefault="006B4F47" w:rsidP="006B4F47">
      <w:pPr>
        <w:pStyle w:val="Prrafodelista"/>
        <w:jc w:val="center"/>
      </w:pPr>
    </w:p>
    <w:p w14:paraId="554BFB4B" w14:textId="77777777" w:rsidR="006B4F47" w:rsidRDefault="006B4F47" w:rsidP="006B4F47">
      <w:pPr>
        <w:pStyle w:val="Prrafodelista"/>
        <w:jc w:val="center"/>
      </w:pPr>
    </w:p>
    <w:p w14:paraId="5EF45BE3" w14:textId="77777777" w:rsidR="006B4F47" w:rsidRDefault="006B4F47" w:rsidP="006B4F47">
      <w:pPr>
        <w:pStyle w:val="Prrafodelista"/>
        <w:jc w:val="center"/>
      </w:pPr>
    </w:p>
    <w:p w14:paraId="5F760607" w14:textId="77777777" w:rsidR="006B4F47" w:rsidRDefault="006B4F47" w:rsidP="006B4F47">
      <w:pPr>
        <w:pStyle w:val="Prrafodelista"/>
        <w:jc w:val="center"/>
      </w:pPr>
    </w:p>
    <w:p w14:paraId="4DD23054" w14:textId="77777777" w:rsidR="006B4F47" w:rsidRDefault="006B4F47" w:rsidP="006B4F47">
      <w:pPr>
        <w:pStyle w:val="Prrafodelista"/>
        <w:jc w:val="center"/>
      </w:pPr>
    </w:p>
    <w:p w14:paraId="1394F50A" w14:textId="77777777" w:rsidR="006B4F47" w:rsidRDefault="006B4F47" w:rsidP="006B4F47">
      <w:pPr>
        <w:pStyle w:val="Prrafodelista"/>
        <w:jc w:val="center"/>
      </w:pPr>
    </w:p>
    <w:p w14:paraId="54893109" w14:textId="77777777" w:rsidR="006B4F47" w:rsidRDefault="006B4F47" w:rsidP="006B4F47">
      <w:pPr>
        <w:pStyle w:val="Prrafodelista"/>
        <w:jc w:val="center"/>
      </w:pPr>
    </w:p>
    <w:p w14:paraId="2E2B0D26" w14:textId="77777777" w:rsidR="006B4F47" w:rsidRDefault="006B4F47" w:rsidP="006B4F47">
      <w:pPr>
        <w:pStyle w:val="Prrafodelista"/>
        <w:jc w:val="center"/>
      </w:pPr>
    </w:p>
    <w:p w14:paraId="44A42D57" w14:textId="77777777" w:rsidR="006B4F47" w:rsidRDefault="006B4F47" w:rsidP="006B4F47">
      <w:pPr>
        <w:pStyle w:val="Prrafodelista"/>
        <w:jc w:val="center"/>
      </w:pPr>
    </w:p>
    <w:p w14:paraId="696C47D5" w14:textId="77777777" w:rsidR="006B4F47" w:rsidRDefault="006B4F47" w:rsidP="006B4F47">
      <w:pPr>
        <w:pStyle w:val="Prrafodelista"/>
        <w:jc w:val="center"/>
      </w:pPr>
    </w:p>
    <w:p w14:paraId="7A0C9F6D" w14:textId="77777777" w:rsidR="006B4F47" w:rsidRDefault="006B4F47" w:rsidP="006B4F47">
      <w:pPr>
        <w:pStyle w:val="Prrafodelista"/>
        <w:jc w:val="center"/>
      </w:pPr>
    </w:p>
    <w:p w14:paraId="514D0BC3" w14:textId="77777777" w:rsidR="006B4F47" w:rsidRDefault="006B4F47" w:rsidP="006B4F47">
      <w:pPr>
        <w:pStyle w:val="Prrafodelista"/>
        <w:jc w:val="center"/>
      </w:pPr>
    </w:p>
    <w:p w14:paraId="13C918BA" w14:textId="77777777" w:rsidR="006B4F47" w:rsidRDefault="006B4F47" w:rsidP="006B4F47">
      <w:pPr>
        <w:pStyle w:val="Prrafodelista"/>
        <w:jc w:val="center"/>
      </w:pPr>
    </w:p>
    <w:p w14:paraId="24C645BA" w14:textId="77777777" w:rsidR="006B4F47" w:rsidRDefault="006B4F47" w:rsidP="006B4F47">
      <w:pPr>
        <w:pStyle w:val="Prrafodelista"/>
        <w:jc w:val="center"/>
      </w:pPr>
    </w:p>
    <w:p w14:paraId="656DC636" w14:textId="77777777" w:rsidR="006B4F47" w:rsidRDefault="006B4F47" w:rsidP="006B4F47">
      <w:pPr>
        <w:pStyle w:val="Prrafodelista"/>
        <w:jc w:val="center"/>
      </w:pPr>
    </w:p>
    <w:p w14:paraId="3F59F70F" w14:textId="77777777" w:rsidR="006B4F47" w:rsidRDefault="006B4F47" w:rsidP="006B4F47">
      <w:pPr>
        <w:pStyle w:val="Prrafodelista"/>
        <w:jc w:val="center"/>
      </w:pPr>
    </w:p>
    <w:p w14:paraId="7967D46F" w14:textId="77777777" w:rsidR="006B4F47" w:rsidRDefault="006B4F47" w:rsidP="006B4F47">
      <w:pPr>
        <w:pStyle w:val="Prrafodelista"/>
        <w:rPr>
          <w:sz w:val="16"/>
          <w:szCs w:val="16"/>
        </w:rPr>
      </w:pPr>
    </w:p>
    <w:p w14:paraId="1F4DAC4C" w14:textId="77777777" w:rsidR="006B4F47" w:rsidRDefault="006B4F47" w:rsidP="006B4F47">
      <w:pPr>
        <w:pStyle w:val="Prrafodelista"/>
        <w:jc w:val="center"/>
        <w:rPr>
          <w:sz w:val="16"/>
          <w:szCs w:val="16"/>
        </w:rPr>
      </w:pPr>
      <w:r>
        <w:rPr>
          <w:sz w:val="16"/>
          <w:szCs w:val="16"/>
        </w:rPr>
        <w:t xml:space="preserve">Fuente: INE, </w:t>
      </w:r>
      <w:r w:rsidRPr="000574E6">
        <w:rPr>
          <w:sz w:val="16"/>
          <w:szCs w:val="16"/>
        </w:rPr>
        <w:t>Proyección de la Población Nacional,</w:t>
      </w:r>
    </w:p>
    <w:p w14:paraId="01D7B0C3" w14:textId="77777777" w:rsidR="006B4F47" w:rsidRDefault="006B4F47" w:rsidP="006B4F47">
      <w:pPr>
        <w:pStyle w:val="Prrafodelista"/>
        <w:jc w:val="center"/>
        <w:rPr>
          <w:sz w:val="16"/>
          <w:szCs w:val="16"/>
        </w:rPr>
      </w:pPr>
      <w:r w:rsidRPr="000574E6">
        <w:rPr>
          <w:sz w:val="16"/>
          <w:szCs w:val="16"/>
        </w:rPr>
        <w:t xml:space="preserve"> Áreas Urbana y Rural por Sexo y Edad, </w:t>
      </w:r>
    </w:p>
    <w:p w14:paraId="4AA4D173" w14:textId="77777777" w:rsidR="006B4F47" w:rsidRDefault="006B4F47" w:rsidP="006B4F47">
      <w:pPr>
        <w:pStyle w:val="Prrafodelista"/>
        <w:jc w:val="center"/>
        <w:rPr>
          <w:sz w:val="16"/>
          <w:szCs w:val="16"/>
        </w:rPr>
      </w:pPr>
      <w:r w:rsidRPr="000574E6">
        <w:rPr>
          <w:sz w:val="16"/>
          <w:szCs w:val="16"/>
        </w:rPr>
        <w:t>2000-2025 Revisión 2015</w:t>
      </w:r>
    </w:p>
    <w:p w14:paraId="300413DA" w14:textId="77777777" w:rsidR="006B4F47" w:rsidRPr="000574E6" w:rsidRDefault="006B4F47" w:rsidP="006B4F47">
      <w:pPr>
        <w:pStyle w:val="Prrafodelista"/>
        <w:jc w:val="center"/>
        <w:rPr>
          <w:noProof/>
          <w:sz w:val="16"/>
          <w:szCs w:val="16"/>
        </w:rPr>
      </w:pPr>
    </w:p>
    <w:p w14:paraId="277A7255" w14:textId="0FDD8582" w:rsidR="006B4F47" w:rsidRPr="001256D3" w:rsidRDefault="006B4F47" w:rsidP="000474F2">
      <w:pPr>
        <w:pStyle w:val="Prrafodelista"/>
        <w:numPr>
          <w:ilvl w:val="0"/>
          <w:numId w:val="1"/>
        </w:numPr>
        <w:jc w:val="both"/>
        <w:rPr>
          <w:rFonts w:cstheme="minorHAnsi"/>
          <w:szCs w:val="24"/>
        </w:rPr>
      </w:pPr>
      <w:r>
        <w:rPr>
          <w:noProof/>
        </w:rPr>
        <w:t xml:space="preserve">De </w:t>
      </w:r>
      <w:r>
        <w:t>acuerdo</w:t>
      </w:r>
      <w:r>
        <w:rPr>
          <w:noProof/>
        </w:rPr>
        <w:t xml:space="preserve"> con información obtenida del INE, Estadisticas vitales del Paraguay 2018, se corroboró que la fecundidad en Paraguay se co</w:t>
      </w:r>
      <w:r w:rsidR="000474F2">
        <w:rPr>
          <w:noProof/>
        </w:rPr>
        <w:t>m</w:t>
      </w:r>
      <w:r>
        <w:rPr>
          <w:noProof/>
        </w:rPr>
        <w:t>porta de acuerdo con el escenario intermedio utilizado para las proyecciones. Tamb</w:t>
      </w:r>
      <w:r w:rsidR="000474F2">
        <w:rPr>
          <w:noProof/>
        </w:rPr>
        <w:t>i</w:t>
      </w:r>
      <w:r>
        <w:rPr>
          <w:noProof/>
        </w:rPr>
        <w:t xml:space="preserve">én se corroboró el cálculo de la TEF por grupo de edad quinquenal con el escenario de fecundidad intermedio </w:t>
      </w:r>
      <w:r>
        <w:rPr>
          <w:rFonts w:cstheme="minorHAnsi"/>
          <w:szCs w:val="24"/>
        </w:rPr>
        <w:t xml:space="preserve">mediante </w:t>
      </w:r>
      <w:r w:rsidRPr="001256D3">
        <w:rPr>
          <w:rFonts w:cstheme="minorHAnsi"/>
          <w:szCs w:val="24"/>
        </w:rPr>
        <w:t>la fórmula</w:t>
      </w:r>
      <w:r>
        <w:rPr>
          <w:rFonts w:cstheme="minorHAnsi"/>
          <w:szCs w:val="24"/>
        </w:rPr>
        <w:t>:</w:t>
      </w:r>
    </w:p>
    <w:p w14:paraId="1F80DC15" w14:textId="77777777" w:rsidR="006B4F47" w:rsidRPr="001256D3" w:rsidRDefault="00EB18FA" w:rsidP="006B4F47">
      <w:pPr>
        <w:rPr>
          <w:rFonts w:cstheme="minorHAnsi"/>
          <w:szCs w:val="24"/>
        </w:rPr>
      </w:pPr>
      <m:oMathPara>
        <m:oMath>
          <m:sSub>
            <m:sSubPr>
              <m:ctrlPr>
                <w:rPr>
                  <w:rFonts w:ascii="Cambria Math" w:hAnsi="Cambria Math" w:cstheme="minorHAnsi"/>
                  <w:i/>
                  <w:szCs w:val="24"/>
                </w:rPr>
              </m:ctrlPr>
            </m:sSubPr>
            <m:e>
              <m:r>
                <w:rPr>
                  <w:rFonts w:ascii="Cambria Math" w:hAnsi="Cambria Math" w:cstheme="minorHAnsi"/>
                  <w:szCs w:val="24"/>
                </w:rPr>
                <m:t>TEF</m:t>
              </m:r>
            </m:e>
            <m:sub>
              <m:sSub>
                <m:sSubPr>
                  <m:ctrlPr>
                    <w:rPr>
                      <w:rFonts w:ascii="Cambria Math" w:hAnsi="Cambria Math" w:cstheme="minorHAnsi"/>
                      <w:i/>
                      <w:szCs w:val="24"/>
                    </w:rPr>
                  </m:ctrlPr>
                </m:sSubPr>
                <m:e>
                  <m:r>
                    <w:rPr>
                      <w:rFonts w:ascii="Cambria Math" w:hAnsi="Cambria Math" w:cstheme="minorHAnsi"/>
                      <w:szCs w:val="24"/>
                    </w:rPr>
                    <m:t>G</m:t>
                  </m:r>
                </m:e>
                <m:sub>
                  <m:r>
                    <w:rPr>
                      <w:rFonts w:ascii="Cambria Math" w:hAnsi="Cambria Math" w:cstheme="minorHAnsi"/>
                      <w:szCs w:val="24"/>
                    </w:rPr>
                    <m:t>i</m:t>
                  </m:r>
                </m:sub>
              </m:sSub>
            </m:sub>
          </m:sSub>
          <m:r>
            <w:rPr>
              <w:rFonts w:ascii="Cambria Math" w:hAnsi="Cambria Math" w:cstheme="minorHAnsi"/>
              <w:szCs w:val="24"/>
            </w:rPr>
            <m:t>=</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TGF</m:t>
                  </m:r>
                </m:e>
                <m:sub>
                  <m:r>
                    <w:rPr>
                      <w:rFonts w:ascii="Cambria Math" w:hAnsi="Cambria Math" w:cstheme="minorHAnsi"/>
                      <w:szCs w:val="24"/>
                    </w:rPr>
                    <m:t>j</m:t>
                  </m:r>
                </m:sub>
              </m:sSub>
              <m:r>
                <w:rPr>
                  <w:rFonts w:ascii="Cambria Math" w:hAnsi="Cambria Math" w:cstheme="minorHAnsi"/>
                  <w:szCs w:val="24"/>
                </w:rPr>
                <m:t>.</m:t>
              </m:r>
              <m:sSub>
                <m:sSubPr>
                  <m:ctrlPr>
                    <w:rPr>
                      <w:rFonts w:ascii="Cambria Math" w:hAnsi="Cambria Math" w:cstheme="minorHAnsi"/>
                      <w:i/>
                      <w:szCs w:val="24"/>
                    </w:rPr>
                  </m:ctrlPr>
                </m:sSubPr>
                <m:e>
                  <m:r>
                    <w:rPr>
                      <w:rFonts w:ascii="Cambria Math" w:hAnsi="Cambria Math" w:cstheme="minorHAnsi"/>
                      <w:szCs w:val="24"/>
                    </w:rPr>
                    <m:t>C</m:t>
                  </m:r>
                </m:e>
                <m:sub>
                  <m:sSub>
                    <m:sSubPr>
                      <m:ctrlPr>
                        <w:rPr>
                          <w:rFonts w:ascii="Cambria Math" w:hAnsi="Cambria Math" w:cstheme="minorHAnsi"/>
                          <w:i/>
                          <w:szCs w:val="24"/>
                        </w:rPr>
                      </m:ctrlPr>
                    </m:sSubPr>
                    <m:e>
                      <m:r>
                        <w:rPr>
                          <w:rFonts w:ascii="Cambria Math" w:hAnsi="Cambria Math" w:cstheme="minorHAnsi"/>
                          <w:szCs w:val="24"/>
                        </w:rPr>
                        <m:t>G</m:t>
                      </m:r>
                    </m:e>
                    <m:sub>
                      <m:r>
                        <w:rPr>
                          <w:rFonts w:ascii="Cambria Math" w:hAnsi="Cambria Math" w:cstheme="minorHAnsi"/>
                          <w:szCs w:val="24"/>
                        </w:rPr>
                        <m:t>i</m:t>
                      </m:r>
                    </m:sub>
                  </m:sSub>
                </m:sub>
              </m:sSub>
            </m:num>
            <m:den>
              <m:r>
                <w:rPr>
                  <w:rFonts w:ascii="Cambria Math" w:hAnsi="Cambria Math" w:cstheme="minorHAnsi"/>
                  <w:szCs w:val="24"/>
                </w:rPr>
                <m:t>5</m:t>
              </m:r>
            </m:den>
          </m:f>
        </m:oMath>
      </m:oMathPara>
    </w:p>
    <w:p w14:paraId="2D87C3C2" w14:textId="0E947884" w:rsidR="006B4F47" w:rsidRDefault="006B4F47" w:rsidP="000474F2">
      <w:pPr>
        <w:pStyle w:val="Prrafodelista"/>
        <w:jc w:val="center"/>
        <w:rPr>
          <w:noProof/>
        </w:rPr>
      </w:pPr>
      <w:r>
        <w:rPr>
          <w:noProof/>
        </w:rPr>
        <w:drawing>
          <wp:inline distT="0" distB="0" distL="0" distR="0" wp14:anchorId="232E9F06" wp14:editId="5EAA1235">
            <wp:extent cx="3651250" cy="219583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6390" r="5181" b="-786"/>
                    <a:stretch/>
                  </pic:blipFill>
                  <pic:spPr bwMode="auto">
                    <a:xfrm>
                      <a:off x="0" y="0"/>
                      <a:ext cx="3651250" cy="2195830"/>
                    </a:xfrm>
                    <a:prstGeom prst="rect">
                      <a:avLst/>
                    </a:prstGeom>
                    <a:noFill/>
                    <a:ln>
                      <a:noFill/>
                    </a:ln>
                    <a:extLst>
                      <a:ext uri="{53640926-AAD7-44D8-BBD7-CCE9431645EC}">
                        <a14:shadowObscured xmlns:a14="http://schemas.microsoft.com/office/drawing/2010/main"/>
                      </a:ext>
                    </a:extLst>
                  </pic:spPr>
                </pic:pic>
              </a:graphicData>
            </a:graphic>
          </wp:inline>
        </w:drawing>
      </w:r>
    </w:p>
    <w:p w14:paraId="4C6DB0CF" w14:textId="77777777" w:rsidR="006B4F47" w:rsidRDefault="006B4F47" w:rsidP="006B4F47">
      <w:pPr>
        <w:pStyle w:val="Prrafodelista"/>
      </w:pPr>
    </w:p>
    <w:p w14:paraId="2724CC0B" w14:textId="65CA7346" w:rsidR="006B4F47" w:rsidRDefault="006B4F47" w:rsidP="006B4F47">
      <w:pPr>
        <w:pStyle w:val="Prrafodelista"/>
      </w:pPr>
    </w:p>
    <w:p w14:paraId="49B4897A" w14:textId="77777777" w:rsidR="006B4F47" w:rsidRDefault="006B4F47" w:rsidP="006B4F47">
      <w:pPr>
        <w:pStyle w:val="Prrafodelista"/>
      </w:pPr>
    </w:p>
    <w:p w14:paraId="1DD1FB24" w14:textId="77777777" w:rsidR="000474F2" w:rsidRDefault="000474F2" w:rsidP="000474F2">
      <w:pPr>
        <w:ind w:left="360"/>
        <w:jc w:val="both"/>
      </w:pPr>
    </w:p>
    <w:p w14:paraId="562CBBDA" w14:textId="77777777" w:rsidR="000474F2" w:rsidRDefault="000474F2" w:rsidP="000474F2">
      <w:pPr>
        <w:ind w:left="360"/>
        <w:jc w:val="both"/>
      </w:pPr>
    </w:p>
    <w:p w14:paraId="708BEE8D" w14:textId="77777777" w:rsidR="000474F2" w:rsidRDefault="000474F2" w:rsidP="000474F2">
      <w:pPr>
        <w:ind w:left="360"/>
        <w:jc w:val="both"/>
      </w:pPr>
    </w:p>
    <w:p w14:paraId="44117862" w14:textId="30267D62" w:rsidR="000474F2" w:rsidRDefault="000474F2" w:rsidP="000474F2">
      <w:pPr>
        <w:ind w:left="360"/>
        <w:jc w:val="center"/>
      </w:pPr>
      <w:r>
        <w:rPr>
          <w:noProof/>
        </w:rPr>
        <w:drawing>
          <wp:inline distT="0" distB="0" distL="0" distR="0" wp14:anchorId="4FA4F7C3" wp14:editId="6C24C516">
            <wp:extent cx="2049780" cy="173990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9780" cy="1739900"/>
                    </a:xfrm>
                    <a:prstGeom prst="rect">
                      <a:avLst/>
                    </a:prstGeom>
                    <a:noFill/>
                    <a:ln>
                      <a:noFill/>
                    </a:ln>
                  </pic:spPr>
                </pic:pic>
              </a:graphicData>
            </a:graphic>
          </wp:inline>
        </w:drawing>
      </w:r>
    </w:p>
    <w:p w14:paraId="1F9481E2" w14:textId="77777777" w:rsidR="000474F2" w:rsidRDefault="000474F2" w:rsidP="000474F2">
      <w:pPr>
        <w:jc w:val="both"/>
      </w:pPr>
    </w:p>
    <w:p w14:paraId="2E0AF21A" w14:textId="19F9CB7B" w:rsidR="006B4F47" w:rsidRDefault="006B4F47" w:rsidP="000474F2">
      <w:pPr>
        <w:pStyle w:val="Prrafodelista"/>
        <w:numPr>
          <w:ilvl w:val="0"/>
          <w:numId w:val="1"/>
        </w:numPr>
        <w:jc w:val="both"/>
      </w:pPr>
      <w:r>
        <w:t xml:space="preserve">Se corroboraron los cálculos para desagregar la población por edades simples mediante los multiplicadores de </w:t>
      </w:r>
      <w:proofErr w:type="spellStart"/>
      <w:r>
        <w:t>Sprague</w:t>
      </w:r>
      <w:proofErr w:type="spellEnd"/>
      <w:r>
        <w:t xml:space="preserve"> para los grupos quinquenales 20-24, 25-29, 30-34, 35-39 y 40-44. </w:t>
      </w:r>
    </w:p>
    <w:p w14:paraId="74F68EAF" w14:textId="77777777" w:rsidR="006B4F47" w:rsidRDefault="006B4F47" w:rsidP="006B4F47">
      <w:pPr>
        <w:pStyle w:val="Prrafodelista"/>
        <w:jc w:val="both"/>
      </w:pPr>
    </w:p>
    <w:p w14:paraId="31CCB51A" w14:textId="77777777" w:rsidR="006B4F47" w:rsidRDefault="006B4F47" w:rsidP="006B4F47">
      <w:pPr>
        <w:pStyle w:val="Prrafodelista"/>
        <w:jc w:val="center"/>
      </w:pPr>
      <w:r>
        <w:rPr>
          <w:noProof/>
        </w:rPr>
        <w:drawing>
          <wp:inline distT="0" distB="0" distL="0" distR="0" wp14:anchorId="22C7084E" wp14:editId="48965BB2">
            <wp:extent cx="4295775" cy="2921000"/>
            <wp:effectExtent l="0" t="0" r="9525" b="0"/>
            <wp:docPr id="8" name="Imagen 1" descr="Tabla&#10;&#10;Descripción generada automáticamente">
              <a:extLst xmlns:a="http://schemas.openxmlformats.org/drawingml/2006/main">
                <a:ext uri="{FF2B5EF4-FFF2-40B4-BE49-F238E27FC236}">
                  <a16:creationId xmlns:a16="http://schemas.microsoft.com/office/drawing/2014/main" id="{00000000-0008-0000-02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 descr="Tabla&#10;&#10;Descripción generada automáticamente">
                      <a:extLst>
                        <a:ext uri="{FF2B5EF4-FFF2-40B4-BE49-F238E27FC236}">
                          <a16:creationId xmlns:a16="http://schemas.microsoft.com/office/drawing/2014/main" id="{00000000-0008-0000-0200-000002000000}"/>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t="7633" b="4580"/>
                    <a:stretch/>
                  </pic:blipFill>
                  <pic:spPr bwMode="auto">
                    <a:xfrm>
                      <a:off x="0" y="0"/>
                      <a:ext cx="4295775" cy="2921000"/>
                    </a:xfrm>
                    <a:prstGeom prst="rect">
                      <a:avLst/>
                    </a:prstGeom>
                    <a:noFill/>
                    <a:ln>
                      <a:noFill/>
                    </a:ln>
                    <a:extLst>
                      <a:ext uri="{53640926-AAD7-44D8-BBD7-CCE9431645EC}">
                        <a14:shadowObscured xmlns:a14="http://schemas.microsoft.com/office/drawing/2010/main"/>
                      </a:ext>
                    </a:extLst>
                  </pic:spPr>
                </pic:pic>
              </a:graphicData>
            </a:graphic>
          </wp:inline>
        </w:drawing>
      </w:r>
    </w:p>
    <w:p w14:paraId="154C8515" w14:textId="77777777" w:rsidR="006B4F47" w:rsidRPr="00B57A53" w:rsidRDefault="006B4F47" w:rsidP="006B4F47">
      <w:pPr>
        <w:spacing w:after="0" w:line="240" w:lineRule="auto"/>
        <w:jc w:val="center"/>
        <w:rPr>
          <w:rFonts w:ascii="Arial" w:eastAsia="Times New Roman" w:hAnsi="Arial" w:cs="Arial"/>
          <w:color w:val="1A0DAB"/>
          <w:sz w:val="24"/>
          <w:szCs w:val="24"/>
          <w:u w:val="single"/>
          <w:shd w:val="clear" w:color="auto" w:fill="FFFFFF"/>
          <w:lang w:eastAsia="es-MX"/>
        </w:rPr>
      </w:pPr>
      <w:r>
        <w:rPr>
          <w:rFonts w:ascii="Times New Roman" w:eastAsia="Times New Roman" w:hAnsi="Times New Roman" w:cs="Times New Roman"/>
          <w:sz w:val="24"/>
          <w:szCs w:val="24"/>
          <w:lang w:eastAsia="es-MX"/>
        </w:rPr>
        <w:t xml:space="preserve">Fuente: </w:t>
      </w:r>
      <w:r>
        <w:rPr>
          <w:rFonts w:ascii="Arial" w:eastAsia="Times New Roman" w:hAnsi="Arial" w:cs="Arial"/>
          <w:color w:val="202124"/>
          <w:sz w:val="21"/>
          <w:szCs w:val="21"/>
          <w:u w:val="single"/>
          <w:shd w:val="clear" w:color="auto" w:fill="FFFFFF"/>
          <w:lang w:eastAsia="es-MX"/>
        </w:rPr>
        <w:fldChar w:fldCharType="begin"/>
      </w:r>
      <w:r>
        <w:rPr>
          <w:rFonts w:ascii="Arial" w:eastAsia="Times New Roman" w:hAnsi="Arial" w:cs="Arial"/>
          <w:color w:val="202124"/>
          <w:sz w:val="21"/>
          <w:szCs w:val="21"/>
          <w:u w:val="single"/>
          <w:shd w:val="clear" w:color="auto" w:fill="FFFFFF"/>
          <w:lang w:eastAsia="es-MX"/>
        </w:rPr>
        <w:instrText xml:space="preserve"> HYPERLINK "</w:instrText>
      </w:r>
      <w:r w:rsidRPr="00B57A53">
        <w:rPr>
          <w:rFonts w:ascii="Arial" w:eastAsia="Times New Roman" w:hAnsi="Arial" w:cs="Arial"/>
          <w:color w:val="202124"/>
          <w:sz w:val="21"/>
          <w:szCs w:val="21"/>
          <w:u w:val="single"/>
          <w:shd w:val="clear" w:color="auto" w:fill="FFFFFF"/>
          <w:lang w:eastAsia="es-MX"/>
        </w:rPr>
        <w:instrText>https://www.inei.gob.pe</w:instrText>
      </w:r>
    </w:p>
    <w:p w14:paraId="339A39EA" w14:textId="77777777" w:rsidR="006B4F47" w:rsidRPr="00B57A53" w:rsidRDefault="006B4F47" w:rsidP="006B4F47">
      <w:pPr>
        <w:spacing w:after="0" w:line="240" w:lineRule="auto"/>
        <w:jc w:val="center"/>
        <w:rPr>
          <w:rStyle w:val="Hipervnculo"/>
          <w:rFonts w:ascii="Arial" w:eastAsia="Times New Roman" w:hAnsi="Arial" w:cs="Arial"/>
          <w:sz w:val="24"/>
          <w:szCs w:val="24"/>
          <w:shd w:val="clear" w:color="auto" w:fill="FFFFFF"/>
          <w:lang w:eastAsia="es-MX"/>
        </w:rPr>
      </w:pPr>
      <w:r>
        <w:rPr>
          <w:rFonts w:ascii="Arial" w:eastAsia="Times New Roman" w:hAnsi="Arial" w:cs="Arial"/>
          <w:color w:val="202124"/>
          <w:sz w:val="21"/>
          <w:szCs w:val="21"/>
          <w:u w:val="single"/>
          <w:shd w:val="clear" w:color="auto" w:fill="FFFFFF"/>
          <w:lang w:eastAsia="es-MX"/>
        </w:rPr>
        <w:instrText xml:space="preserve">" </w:instrText>
      </w:r>
      <w:r>
        <w:rPr>
          <w:rFonts w:ascii="Arial" w:eastAsia="Times New Roman" w:hAnsi="Arial" w:cs="Arial"/>
          <w:color w:val="202124"/>
          <w:sz w:val="21"/>
          <w:szCs w:val="21"/>
          <w:u w:val="single"/>
          <w:shd w:val="clear" w:color="auto" w:fill="FFFFFF"/>
          <w:lang w:eastAsia="es-MX"/>
        </w:rPr>
        <w:fldChar w:fldCharType="separate"/>
      </w:r>
      <w:r w:rsidRPr="00B57A53">
        <w:rPr>
          <w:rStyle w:val="Hipervnculo"/>
          <w:rFonts w:ascii="Arial" w:eastAsia="Times New Roman" w:hAnsi="Arial" w:cs="Arial"/>
          <w:sz w:val="21"/>
          <w:szCs w:val="21"/>
          <w:shd w:val="clear" w:color="auto" w:fill="FFFFFF"/>
          <w:lang w:eastAsia="es-MX"/>
        </w:rPr>
        <w:t>https://www.inei.gob.pe</w:t>
      </w:r>
    </w:p>
    <w:p w14:paraId="3EACA431" w14:textId="77777777" w:rsidR="006B4F47" w:rsidRDefault="006B4F47" w:rsidP="006B4F47">
      <w:pPr>
        <w:pStyle w:val="Prrafodelista"/>
        <w:jc w:val="center"/>
      </w:pPr>
      <w:r>
        <w:rPr>
          <w:rFonts w:ascii="Arial" w:eastAsia="Times New Roman" w:hAnsi="Arial" w:cs="Arial"/>
          <w:color w:val="202124"/>
          <w:sz w:val="21"/>
          <w:szCs w:val="21"/>
          <w:u w:val="single"/>
          <w:shd w:val="clear" w:color="auto" w:fill="FFFFFF"/>
          <w:lang w:eastAsia="es-MX"/>
        </w:rPr>
        <w:fldChar w:fldCharType="end"/>
      </w:r>
    </w:p>
    <w:p w14:paraId="0023D202" w14:textId="6C6AB29C" w:rsidR="006B4F47" w:rsidRPr="006952BB" w:rsidRDefault="006B4F47" w:rsidP="000474F2">
      <w:pPr>
        <w:pStyle w:val="Prrafodelista"/>
        <w:numPr>
          <w:ilvl w:val="0"/>
          <w:numId w:val="1"/>
        </w:numPr>
        <w:jc w:val="both"/>
      </w:pPr>
      <w:r w:rsidRPr="00337010">
        <w:rPr>
          <w:rFonts w:cstheme="minorHAnsi"/>
          <w:szCs w:val="24"/>
        </w:rPr>
        <w:t xml:space="preserve">Para </w:t>
      </w:r>
      <w:r w:rsidRPr="000474F2">
        <w:t>la</w:t>
      </w:r>
      <w:r w:rsidRPr="00337010">
        <w:rPr>
          <w:rFonts w:cstheme="minorHAnsi"/>
          <w:szCs w:val="24"/>
        </w:rPr>
        <w:t xml:space="preserve"> TGF en los años </w:t>
      </w:r>
      <w:r w:rsidR="000474F2">
        <w:rPr>
          <w:rFonts w:cstheme="minorHAnsi"/>
          <w:szCs w:val="24"/>
        </w:rPr>
        <w:t>intermedios</w:t>
      </w:r>
      <w:r w:rsidRPr="00337010">
        <w:rPr>
          <w:rFonts w:cstheme="minorHAnsi"/>
          <w:szCs w:val="24"/>
        </w:rPr>
        <w:t xml:space="preserve"> entre el año base y el año objetivo, se </w:t>
      </w:r>
      <w:r w:rsidR="000474F2">
        <w:rPr>
          <w:rFonts w:cstheme="minorHAnsi"/>
          <w:szCs w:val="24"/>
        </w:rPr>
        <w:t>utilizó una</w:t>
      </w:r>
      <w:r w:rsidRPr="00337010">
        <w:rPr>
          <w:rFonts w:cstheme="minorHAnsi"/>
          <w:szCs w:val="24"/>
        </w:rPr>
        <w:t xml:space="preserve"> interpolación</w:t>
      </w:r>
      <w:r w:rsidR="000474F2">
        <w:rPr>
          <w:rFonts w:cstheme="minorHAnsi"/>
          <w:szCs w:val="24"/>
        </w:rPr>
        <w:t>, por lo que s</w:t>
      </w:r>
      <w:r w:rsidRPr="00337010">
        <w:rPr>
          <w:rFonts w:cstheme="minorHAnsi"/>
          <w:szCs w:val="24"/>
        </w:rPr>
        <w:t xml:space="preserve">e </w:t>
      </w:r>
      <w:r w:rsidR="000474F2">
        <w:rPr>
          <w:rFonts w:cstheme="minorHAnsi"/>
          <w:szCs w:val="24"/>
        </w:rPr>
        <w:t>corroboraron los resultados de la metodología expuesta.</w:t>
      </w:r>
    </w:p>
    <w:p w14:paraId="793C40E8" w14:textId="77777777" w:rsidR="006B4F47" w:rsidRPr="00337010" w:rsidRDefault="006B4F47" w:rsidP="006B4F47">
      <w:pPr>
        <w:pStyle w:val="Prrafodelista"/>
        <w:jc w:val="both"/>
      </w:pPr>
    </w:p>
    <w:p w14:paraId="17930E9A" w14:textId="77777777" w:rsidR="006B4F47" w:rsidRDefault="006B4F47" w:rsidP="006B4F47">
      <w:pPr>
        <w:pStyle w:val="Prrafodelista"/>
        <w:jc w:val="center"/>
      </w:pPr>
      <w:r>
        <w:rPr>
          <w:noProof/>
        </w:rPr>
        <w:lastRenderedPageBreak/>
        <w:drawing>
          <wp:inline distT="0" distB="0" distL="0" distR="0" wp14:anchorId="4B48A0D1" wp14:editId="3C4E5402">
            <wp:extent cx="4533900" cy="158158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33900" cy="1581581"/>
                    </a:xfrm>
                    <a:prstGeom prst="rect">
                      <a:avLst/>
                    </a:prstGeom>
                    <a:noFill/>
                    <a:ln>
                      <a:noFill/>
                    </a:ln>
                  </pic:spPr>
                </pic:pic>
              </a:graphicData>
            </a:graphic>
          </wp:inline>
        </w:drawing>
      </w:r>
    </w:p>
    <w:p w14:paraId="7FA3F7A4" w14:textId="77777777" w:rsidR="006B4F47" w:rsidRPr="00B57A53" w:rsidRDefault="006B4F47" w:rsidP="006B4F47">
      <w:pPr>
        <w:pStyle w:val="Prrafodelista"/>
        <w:jc w:val="center"/>
        <w:rPr>
          <w:sz w:val="20"/>
          <w:szCs w:val="20"/>
        </w:rPr>
      </w:pPr>
      <w:r w:rsidRPr="00B57A53">
        <w:rPr>
          <w:sz w:val="20"/>
          <w:szCs w:val="20"/>
        </w:rPr>
        <w:t xml:space="preserve">Fuente: Archivo Excel </w:t>
      </w:r>
      <w:proofErr w:type="spellStart"/>
      <w:r w:rsidRPr="00B57A53">
        <w:rPr>
          <w:sz w:val="20"/>
          <w:szCs w:val="20"/>
        </w:rPr>
        <w:t>Fert</w:t>
      </w:r>
      <w:proofErr w:type="spellEnd"/>
    </w:p>
    <w:p w14:paraId="50605CA4" w14:textId="77777777" w:rsidR="006B4F47" w:rsidRDefault="006B4F47" w:rsidP="006B4F47">
      <w:pPr>
        <w:pStyle w:val="Prrafodelista"/>
        <w:jc w:val="center"/>
      </w:pPr>
    </w:p>
    <w:p w14:paraId="1BCEE868" w14:textId="77777777" w:rsidR="006B4F47" w:rsidRDefault="006B4F47" w:rsidP="006B4F47">
      <w:pPr>
        <w:pStyle w:val="Prrafodelista"/>
      </w:pPr>
    </w:p>
    <w:p w14:paraId="6BB695AD" w14:textId="77777777" w:rsidR="006B4F47" w:rsidRDefault="006B4F47" w:rsidP="000474F2">
      <w:pPr>
        <w:pStyle w:val="Prrafodelista"/>
        <w:numPr>
          <w:ilvl w:val="0"/>
          <w:numId w:val="1"/>
        </w:numPr>
        <w:jc w:val="both"/>
      </w:pPr>
      <w:r>
        <w:t xml:space="preserve">Finalmente, para las tasas específicas de fecundidad para los años 2021-2049 se corroboraron los resultados obtenidos mediante la fórmula presentada en la nota metodológica: </w:t>
      </w:r>
    </w:p>
    <w:p w14:paraId="5698FB04" w14:textId="77777777" w:rsidR="006B4F47" w:rsidRDefault="006B4F47" w:rsidP="006B4F47">
      <w:pPr>
        <w:pStyle w:val="Prrafodelista"/>
      </w:pPr>
    </w:p>
    <w:p w14:paraId="45E2BB51" w14:textId="77777777" w:rsidR="006B4F47" w:rsidRDefault="00EB18FA" w:rsidP="006B4F47">
      <w:pPr>
        <w:pStyle w:val="Prrafodelista"/>
      </w:pPr>
      <m:oMathPara>
        <m:oMath>
          <m:sSub>
            <m:sSubPr>
              <m:ctrlPr>
                <w:rPr>
                  <w:rFonts w:ascii="Cambria Math" w:hAnsi="Cambria Math" w:cstheme="minorHAnsi"/>
                  <w:i/>
                  <w:szCs w:val="24"/>
                </w:rPr>
              </m:ctrlPr>
            </m:sSubPr>
            <m:e>
              <m:r>
                <w:rPr>
                  <w:rFonts w:ascii="Cambria Math" w:hAnsi="Cambria Math" w:cstheme="minorHAnsi"/>
                  <w:szCs w:val="24"/>
                </w:rPr>
                <m:t>TGF</m:t>
              </m:r>
            </m:e>
            <m:sub>
              <m:r>
                <w:rPr>
                  <w:rFonts w:ascii="Cambria Math" w:hAnsi="Cambria Math" w:cstheme="minorHAnsi"/>
                  <w:szCs w:val="24"/>
                </w:rPr>
                <m:t>t</m:t>
              </m:r>
            </m:sub>
          </m:sSub>
          <m:r>
            <w:rPr>
              <w:rFonts w:ascii="Cambria Math" w:hAnsi="Cambria Math" w:cstheme="minorHAnsi"/>
              <w:szCs w:val="24"/>
            </w:rPr>
            <m:t>=</m:t>
          </m:r>
          <m:sSub>
            <m:sSubPr>
              <m:ctrlPr>
                <w:rPr>
                  <w:rFonts w:ascii="Cambria Math" w:hAnsi="Cambria Math" w:cstheme="minorHAnsi"/>
                  <w:i/>
                  <w:szCs w:val="24"/>
                </w:rPr>
              </m:ctrlPr>
            </m:sSubPr>
            <m:e>
              <m:d>
                <m:dPr>
                  <m:ctrlPr>
                    <w:rPr>
                      <w:rFonts w:ascii="Cambria Math" w:hAnsi="Cambria Math" w:cstheme="minorHAnsi"/>
                      <w:i/>
                      <w:szCs w:val="24"/>
                    </w:rPr>
                  </m:ctrlPr>
                </m:dPr>
                <m:e>
                  <m:r>
                    <w:rPr>
                      <w:rFonts w:ascii="Cambria Math" w:hAnsi="Cambria Math" w:cstheme="minorHAnsi"/>
                      <w:szCs w:val="24"/>
                    </w:rPr>
                    <m:t>1-</m:t>
                  </m:r>
                  <m:f>
                    <m:fPr>
                      <m:ctrlPr>
                        <w:rPr>
                          <w:rFonts w:ascii="Cambria Math" w:hAnsi="Cambria Math" w:cstheme="minorHAnsi"/>
                          <w:i/>
                          <w:szCs w:val="24"/>
                        </w:rPr>
                      </m:ctrlPr>
                    </m:fPr>
                    <m:num>
                      <m:r>
                        <w:rPr>
                          <w:rFonts w:ascii="Cambria Math" w:hAnsi="Cambria Math" w:cstheme="minorHAnsi"/>
                          <w:szCs w:val="24"/>
                        </w:rPr>
                        <m:t>t</m:t>
                      </m:r>
                    </m:num>
                    <m:den>
                      <m:r>
                        <w:rPr>
                          <w:rFonts w:ascii="Cambria Math" w:hAnsi="Cambria Math" w:cstheme="minorHAnsi"/>
                          <w:szCs w:val="24"/>
                        </w:rPr>
                        <m:t>T</m:t>
                      </m:r>
                    </m:den>
                  </m:f>
                </m:e>
              </m:d>
              <m:r>
                <w:rPr>
                  <w:rFonts w:ascii="Cambria Math" w:hAnsi="Cambria Math" w:cstheme="minorHAnsi"/>
                  <w:szCs w:val="24"/>
                </w:rPr>
                <m:t>TGF</m:t>
              </m:r>
            </m:e>
            <m:sub>
              <m:r>
                <w:rPr>
                  <w:rFonts w:ascii="Cambria Math" w:hAnsi="Cambria Math" w:cstheme="minorHAnsi"/>
                  <w:szCs w:val="24"/>
                </w:rPr>
                <m:t>0</m:t>
              </m:r>
            </m:sub>
          </m:sSub>
          <m:r>
            <w:rPr>
              <w:rFonts w:ascii="Cambria Math" w:hAnsi="Cambria Math" w:cstheme="minorHAnsi"/>
              <w:szCs w:val="24"/>
            </w:rPr>
            <m:t>+</m:t>
          </m:r>
          <m:f>
            <m:fPr>
              <m:ctrlPr>
                <w:rPr>
                  <w:rFonts w:ascii="Cambria Math" w:hAnsi="Cambria Math" w:cstheme="minorHAnsi"/>
                  <w:i/>
                  <w:szCs w:val="24"/>
                </w:rPr>
              </m:ctrlPr>
            </m:fPr>
            <m:num>
              <m:r>
                <w:rPr>
                  <w:rFonts w:ascii="Cambria Math" w:hAnsi="Cambria Math" w:cstheme="minorHAnsi"/>
                  <w:szCs w:val="24"/>
                </w:rPr>
                <m:t>t</m:t>
              </m:r>
            </m:num>
            <m:den>
              <m:r>
                <w:rPr>
                  <w:rFonts w:ascii="Cambria Math" w:hAnsi="Cambria Math" w:cstheme="minorHAnsi"/>
                  <w:szCs w:val="24"/>
                </w:rPr>
                <m:t>T</m:t>
              </m:r>
            </m:den>
          </m:f>
          <m:sSub>
            <m:sSubPr>
              <m:ctrlPr>
                <w:rPr>
                  <w:rFonts w:ascii="Cambria Math" w:hAnsi="Cambria Math" w:cstheme="minorHAnsi"/>
                  <w:i/>
                  <w:szCs w:val="24"/>
                </w:rPr>
              </m:ctrlPr>
            </m:sSubPr>
            <m:e>
              <m:r>
                <w:rPr>
                  <w:rFonts w:ascii="Cambria Math" w:hAnsi="Cambria Math" w:cstheme="minorHAnsi"/>
                  <w:szCs w:val="24"/>
                </w:rPr>
                <m:t>TGF</m:t>
              </m:r>
            </m:e>
            <m:sub>
              <m:r>
                <w:rPr>
                  <w:rFonts w:ascii="Cambria Math" w:hAnsi="Cambria Math" w:cstheme="minorHAnsi"/>
                  <w:szCs w:val="24"/>
                </w:rPr>
                <m:t>T</m:t>
              </m:r>
            </m:sub>
          </m:sSub>
        </m:oMath>
      </m:oMathPara>
    </w:p>
    <w:p w14:paraId="2638FDBA" w14:textId="77777777" w:rsidR="006B4F47" w:rsidRDefault="006B4F47" w:rsidP="006B4F47">
      <w:pPr>
        <w:pStyle w:val="Prrafodelista"/>
      </w:pPr>
    </w:p>
    <w:p w14:paraId="736A803D" w14:textId="77777777" w:rsidR="006B4F47" w:rsidRDefault="006B4F47" w:rsidP="006B4F47">
      <w:pPr>
        <w:pStyle w:val="Prrafodelista"/>
      </w:pPr>
    </w:p>
    <w:p w14:paraId="3A259000" w14:textId="2F8837BA" w:rsidR="006B4F47" w:rsidRDefault="000474F2" w:rsidP="00FD5FE9">
      <w:pPr>
        <w:jc w:val="both"/>
      </w:pPr>
      <w:r>
        <w:t xml:space="preserve">Tras la revisión descrita, se observaron algunos resultados que nos llevan a sugerir la revisión de los siguientes puntos: </w:t>
      </w:r>
    </w:p>
    <w:p w14:paraId="53331465" w14:textId="6922FCF1" w:rsidR="009656C1" w:rsidRDefault="000474F2" w:rsidP="000474F2">
      <w:pPr>
        <w:pStyle w:val="Prrafodelista"/>
        <w:numPr>
          <w:ilvl w:val="0"/>
          <w:numId w:val="4"/>
        </w:numPr>
        <w:jc w:val="both"/>
      </w:pPr>
      <w:r>
        <w:t>Detallar cómo se utilizaron los multiplicadores para los extremos inicial y final, es decir, para los grupos 15-19 y 45-49</w:t>
      </w:r>
      <w:r w:rsidRPr="00EC0949">
        <w:rPr>
          <w:color w:val="FF0000"/>
        </w:rPr>
        <w:t xml:space="preserve">, ya que las </w:t>
      </w:r>
      <w:r w:rsidR="009656C1" w:rsidRPr="00EC0949">
        <w:rPr>
          <w:color w:val="FF0000"/>
        </w:rPr>
        <w:t>fórmulas mostradas en el libro de MS-Exel, muestran multiplicadores distintos.</w:t>
      </w:r>
    </w:p>
    <w:p w14:paraId="7E4E9764" w14:textId="7B20D332" w:rsidR="00B156FB" w:rsidRDefault="00B156FB" w:rsidP="00B156FB">
      <w:pPr>
        <w:pStyle w:val="Prrafodelista"/>
        <w:jc w:val="both"/>
      </w:pPr>
      <w:r>
        <w:rPr>
          <w:noProof/>
        </w:rPr>
        <w:lastRenderedPageBreak/>
        <w:drawing>
          <wp:inline distT="0" distB="0" distL="0" distR="0" wp14:anchorId="1E11CC5D" wp14:editId="06621088">
            <wp:extent cx="5612130" cy="4138930"/>
            <wp:effectExtent l="0" t="0" r="7620" b="0"/>
            <wp:docPr id="1" name="Imagen 1"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abla&#10;&#10;Descripción generada automáticamente"/>
                    <pic:cNvPicPr/>
                  </pic:nvPicPr>
                  <pic:blipFill>
                    <a:blip r:embed="rId13"/>
                    <a:stretch>
                      <a:fillRect/>
                    </a:stretch>
                  </pic:blipFill>
                  <pic:spPr>
                    <a:xfrm>
                      <a:off x="0" y="0"/>
                      <a:ext cx="5612130" cy="4138930"/>
                    </a:xfrm>
                    <a:prstGeom prst="rect">
                      <a:avLst/>
                    </a:prstGeom>
                  </pic:spPr>
                </pic:pic>
              </a:graphicData>
            </a:graphic>
          </wp:inline>
        </w:drawing>
      </w:r>
    </w:p>
    <w:p w14:paraId="3553224C" w14:textId="3ED4C4B8" w:rsidR="00B156FB" w:rsidRDefault="00B156FB" w:rsidP="00B156FB">
      <w:pPr>
        <w:pStyle w:val="Prrafodelista"/>
        <w:jc w:val="both"/>
      </w:pPr>
    </w:p>
    <w:p w14:paraId="038B8C9B" w14:textId="5297078C" w:rsidR="00B156FB" w:rsidRDefault="00B156FB" w:rsidP="00B156FB">
      <w:pPr>
        <w:pStyle w:val="Prrafodelista"/>
        <w:jc w:val="both"/>
      </w:pPr>
      <w:r>
        <w:t>Fuente:</w:t>
      </w:r>
    </w:p>
    <w:p w14:paraId="07095F2D" w14:textId="37ABA96E" w:rsidR="00B156FB" w:rsidRDefault="00EB18FA" w:rsidP="00B156FB">
      <w:pPr>
        <w:pStyle w:val="Prrafodelista"/>
        <w:jc w:val="both"/>
      </w:pPr>
      <w:hyperlink r:id="rId14" w:history="1">
        <w:r w:rsidR="00C427D6" w:rsidRPr="00AA228B">
          <w:rPr>
            <w:rStyle w:val="Hipervnculo"/>
          </w:rPr>
          <w:t>https://www.google.com/url?sa=t&amp;rct=j&amp;q=&amp;esrc=s&amp;source=web&amp;cd=&amp;ved=2ahUKEwjEq7Ll8MPwAhV2KrkGHdNJA1EQFjAAegQIBBAD&amp;url=http%3A%2F%2Fwww.statssa.gov.za%2Fpublications%2FP0302%2Fspraque_table.xls&amp;usg=AOvVaw384AuN5zrQQglUqeWD2nWF</w:t>
        </w:r>
      </w:hyperlink>
    </w:p>
    <w:p w14:paraId="5FF62305" w14:textId="77777777" w:rsidR="00C427D6" w:rsidRDefault="00C427D6" w:rsidP="00B156FB">
      <w:pPr>
        <w:pStyle w:val="Prrafodelista"/>
        <w:jc w:val="both"/>
      </w:pPr>
    </w:p>
    <w:p w14:paraId="30C3880A" w14:textId="77777777" w:rsidR="00B156FB" w:rsidRDefault="00B156FB" w:rsidP="00B156FB">
      <w:pPr>
        <w:pStyle w:val="Prrafodelista"/>
        <w:jc w:val="both"/>
      </w:pPr>
    </w:p>
    <w:p w14:paraId="64825D69" w14:textId="5846B2B6" w:rsidR="009656C1" w:rsidRDefault="009656C1" w:rsidP="00FD5FE9">
      <w:pPr>
        <w:pStyle w:val="Prrafodelista"/>
        <w:numPr>
          <w:ilvl w:val="0"/>
          <w:numId w:val="4"/>
        </w:numPr>
        <w:jc w:val="both"/>
      </w:pPr>
      <w:r>
        <w:t xml:space="preserve">En caso de no haberse hecho antes, podría ser de utilidad </w:t>
      </w:r>
      <w:r w:rsidR="000474F2">
        <w:t>comparar los resultados obtenidos</w:t>
      </w:r>
      <w:r>
        <w:t>,</w:t>
      </w:r>
      <w:r w:rsidR="000474F2">
        <w:t xml:space="preserve"> con los que pudieran arrojar otras metodologías como </w:t>
      </w:r>
      <w:proofErr w:type="spellStart"/>
      <w:r w:rsidR="000474F2">
        <w:t>Karup</w:t>
      </w:r>
      <w:proofErr w:type="spellEnd"/>
      <w:r w:rsidR="000474F2">
        <w:t>-King</w:t>
      </w:r>
      <w:r w:rsidR="007914A4">
        <w:t>, que también se basa en multiplicadores</w:t>
      </w:r>
      <w:r w:rsidR="000474F2">
        <w:t>.</w:t>
      </w:r>
    </w:p>
    <w:p w14:paraId="3C504D6B" w14:textId="77777777" w:rsidR="00B156FB" w:rsidRDefault="00B156FB" w:rsidP="00B156FB">
      <w:pPr>
        <w:pStyle w:val="Prrafodelista"/>
      </w:pPr>
    </w:p>
    <w:p w14:paraId="2B42CA1C" w14:textId="59D243B6" w:rsidR="00B156FB" w:rsidRDefault="00B156FB" w:rsidP="00B156FB">
      <w:pPr>
        <w:pStyle w:val="Prrafodelista"/>
        <w:jc w:val="both"/>
      </w:pPr>
      <w:r w:rsidRPr="00B156FB">
        <w:rPr>
          <w:highlight w:val="yellow"/>
        </w:rPr>
        <w:t>Obtener los factores antes</w:t>
      </w:r>
    </w:p>
    <w:p w14:paraId="727C86C3" w14:textId="04AD5431" w:rsidR="0004571C" w:rsidRDefault="00EB18FA" w:rsidP="00B156FB">
      <w:pPr>
        <w:pStyle w:val="Prrafodelista"/>
        <w:jc w:val="both"/>
      </w:pPr>
      <w:hyperlink r:id="rId15" w:history="1">
        <w:r w:rsidR="0004571C">
          <w:rPr>
            <w:rStyle w:val="Hipervnculo"/>
          </w:rPr>
          <w:t>ADISS2016-457.pdf</w:t>
        </w:r>
      </w:hyperlink>
    </w:p>
    <w:p w14:paraId="726E3973" w14:textId="5312D49D" w:rsidR="00B156FB" w:rsidRDefault="0004571C" w:rsidP="00B156FB">
      <w:pPr>
        <w:pStyle w:val="Prrafodelista"/>
        <w:jc w:val="both"/>
      </w:pPr>
      <w:r>
        <w:rPr>
          <w:noProof/>
        </w:rPr>
        <w:lastRenderedPageBreak/>
        <w:drawing>
          <wp:inline distT="0" distB="0" distL="0" distR="0" wp14:anchorId="1473695F" wp14:editId="2A9E2F4A">
            <wp:extent cx="4876800" cy="647700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16"/>
                    <a:stretch>
                      <a:fillRect/>
                    </a:stretch>
                  </pic:blipFill>
                  <pic:spPr>
                    <a:xfrm>
                      <a:off x="0" y="0"/>
                      <a:ext cx="4876800" cy="6477000"/>
                    </a:xfrm>
                    <a:prstGeom prst="rect">
                      <a:avLst/>
                    </a:prstGeom>
                  </pic:spPr>
                </pic:pic>
              </a:graphicData>
            </a:graphic>
          </wp:inline>
        </w:drawing>
      </w:r>
    </w:p>
    <w:p w14:paraId="160B586A" w14:textId="5FFE376E" w:rsidR="000474F2" w:rsidRPr="00B156FB" w:rsidRDefault="009656C1" w:rsidP="00FD5FE9">
      <w:pPr>
        <w:pStyle w:val="Prrafodelista"/>
        <w:numPr>
          <w:ilvl w:val="0"/>
          <w:numId w:val="4"/>
        </w:numPr>
        <w:jc w:val="both"/>
      </w:pPr>
      <w:r>
        <w:t xml:space="preserve">Clarificar </w:t>
      </w:r>
      <w:r w:rsidR="007914A4">
        <w:t>cuál es</w:t>
      </w:r>
      <w:r>
        <w:t xml:space="preserve"> la tendencia utilizada a partir de la fórmula </w:t>
      </w:r>
      <w:r w:rsidR="000474F2" w:rsidRPr="009656C1">
        <w:rPr>
          <w:rFonts w:cstheme="minorHAnsi"/>
          <w:szCs w:val="24"/>
        </w:rPr>
        <w:t>mencionada en la nota metodológica</w:t>
      </w:r>
      <w:r>
        <w:rPr>
          <w:rFonts w:cstheme="minorHAnsi"/>
          <w:szCs w:val="24"/>
        </w:rPr>
        <w:t xml:space="preserve"> (</w:t>
      </w:r>
      <w:r w:rsidR="007914A4">
        <w:rPr>
          <w:rFonts w:cstheme="minorHAnsi"/>
          <w:szCs w:val="24"/>
        </w:rPr>
        <w:t xml:space="preserve">referida también en el </w:t>
      </w:r>
      <w:r>
        <w:rPr>
          <w:rFonts w:cstheme="minorHAnsi"/>
          <w:szCs w:val="24"/>
        </w:rPr>
        <w:t xml:space="preserve">punto 4 de este documento) ya que aparentemente corresponde </w:t>
      </w:r>
      <w:r w:rsidR="000474F2" w:rsidRPr="009656C1">
        <w:rPr>
          <w:rFonts w:cstheme="minorHAnsi"/>
          <w:szCs w:val="24"/>
        </w:rPr>
        <w:t xml:space="preserve">a </w:t>
      </w:r>
      <w:r w:rsidR="007914A4">
        <w:rPr>
          <w:rFonts w:cstheme="minorHAnsi"/>
          <w:szCs w:val="24"/>
        </w:rPr>
        <w:t>la</w:t>
      </w:r>
      <w:r w:rsidR="000474F2" w:rsidRPr="009656C1">
        <w:rPr>
          <w:rFonts w:cstheme="minorHAnsi"/>
          <w:szCs w:val="24"/>
        </w:rPr>
        <w:t xml:space="preserve"> tendencia </w:t>
      </w:r>
      <w:r w:rsidR="007914A4">
        <w:rPr>
          <w:rFonts w:cstheme="minorHAnsi"/>
          <w:szCs w:val="24"/>
        </w:rPr>
        <w:t>“</w:t>
      </w:r>
      <w:r w:rsidR="000474F2" w:rsidRPr="009656C1">
        <w:rPr>
          <w:rFonts w:cstheme="minorHAnsi"/>
          <w:szCs w:val="24"/>
        </w:rPr>
        <w:t>Lenta</w:t>
      </w:r>
      <w:r w:rsidR="007914A4">
        <w:rPr>
          <w:rFonts w:cstheme="minorHAnsi"/>
          <w:szCs w:val="24"/>
        </w:rPr>
        <w:t>”</w:t>
      </w:r>
      <w:r w:rsidR="000474F2" w:rsidRPr="009656C1">
        <w:rPr>
          <w:rFonts w:cstheme="minorHAnsi"/>
          <w:szCs w:val="24"/>
        </w:rPr>
        <w:t xml:space="preserve"> y no </w:t>
      </w:r>
      <w:r w:rsidR="007914A4">
        <w:rPr>
          <w:rFonts w:cstheme="minorHAnsi"/>
          <w:szCs w:val="24"/>
        </w:rPr>
        <w:t>“L</w:t>
      </w:r>
      <w:r w:rsidR="000474F2" w:rsidRPr="009656C1">
        <w:rPr>
          <w:rFonts w:cstheme="minorHAnsi"/>
          <w:szCs w:val="24"/>
        </w:rPr>
        <w:t>ineal</w:t>
      </w:r>
      <w:r w:rsidR="007914A4">
        <w:rPr>
          <w:rFonts w:cstheme="minorHAnsi"/>
          <w:szCs w:val="24"/>
        </w:rPr>
        <w:t>”</w:t>
      </w:r>
      <w:r w:rsidR="000474F2" w:rsidRPr="009656C1">
        <w:rPr>
          <w:rFonts w:cstheme="minorHAnsi"/>
          <w:szCs w:val="24"/>
        </w:rPr>
        <w:t xml:space="preserve"> como se menciona en </w:t>
      </w:r>
      <w:r w:rsidR="007914A4">
        <w:rPr>
          <w:rFonts w:cstheme="minorHAnsi"/>
          <w:szCs w:val="24"/>
        </w:rPr>
        <w:t>el documento mostrado</w:t>
      </w:r>
      <w:r w:rsidR="000474F2" w:rsidRPr="009656C1">
        <w:rPr>
          <w:rFonts w:cstheme="minorHAnsi"/>
          <w:szCs w:val="24"/>
        </w:rPr>
        <w:t>.</w:t>
      </w:r>
      <w:r w:rsidR="007914A4">
        <w:rPr>
          <w:rFonts w:cstheme="minorHAnsi"/>
          <w:szCs w:val="24"/>
        </w:rPr>
        <w:br/>
        <w:t xml:space="preserve">Este punto fue detectado </w:t>
      </w:r>
      <w:r w:rsidR="000474F2" w:rsidRPr="009656C1">
        <w:rPr>
          <w:rFonts w:cstheme="minorHAnsi"/>
          <w:szCs w:val="24"/>
        </w:rPr>
        <w:t>en la hoja “</w:t>
      </w:r>
      <w:proofErr w:type="spellStart"/>
      <w:r w:rsidR="000474F2" w:rsidRPr="009656C1">
        <w:rPr>
          <w:rFonts w:cstheme="minorHAnsi"/>
          <w:szCs w:val="24"/>
        </w:rPr>
        <w:t>Fert</w:t>
      </w:r>
      <w:proofErr w:type="spellEnd"/>
      <w:r w:rsidR="000474F2" w:rsidRPr="009656C1">
        <w:rPr>
          <w:rFonts w:cstheme="minorHAnsi"/>
          <w:szCs w:val="24"/>
        </w:rPr>
        <w:t xml:space="preserve">” fila 50 del archivo </w:t>
      </w:r>
      <w:r w:rsidR="007914A4">
        <w:rPr>
          <w:rFonts w:cstheme="minorHAnsi"/>
          <w:szCs w:val="24"/>
        </w:rPr>
        <w:t>de MS-</w:t>
      </w:r>
      <w:r w:rsidR="000474F2" w:rsidRPr="009656C1">
        <w:rPr>
          <w:rFonts w:cstheme="minorHAnsi"/>
          <w:szCs w:val="24"/>
        </w:rPr>
        <w:t>Excel del mismo nombre</w:t>
      </w:r>
      <w:r w:rsidR="007914A4">
        <w:rPr>
          <w:rFonts w:cstheme="minorHAnsi"/>
          <w:szCs w:val="24"/>
        </w:rPr>
        <w:t xml:space="preserve">, por lo que </w:t>
      </w:r>
      <w:r w:rsidR="000474F2" w:rsidRPr="009656C1">
        <w:rPr>
          <w:rFonts w:cstheme="minorHAnsi"/>
          <w:szCs w:val="24"/>
        </w:rPr>
        <w:t>se sugiere corroborar que los resultados obtenidos</w:t>
      </w:r>
      <w:r w:rsidR="007914A4">
        <w:rPr>
          <w:rFonts w:cstheme="minorHAnsi"/>
          <w:szCs w:val="24"/>
        </w:rPr>
        <w:t>,</w:t>
      </w:r>
      <w:r w:rsidR="000474F2" w:rsidRPr="009656C1">
        <w:rPr>
          <w:rFonts w:cstheme="minorHAnsi"/>
          <w:szCs w:val="24"/>
        </w:rPr>
        <w:t xml:space="preserve"> reflejan una tendencia lineal en la TGF.</w:t>
      </w:r>
    </w:p>
    <w:p w14:paraId="36A17105" w14:textId="436D6CC0" w:rsidR="00B156FB" w:rsidRDefault="00B156FB" w:rsidP="00B156FB">
      <w:pPr>
        <w:jc w:val="both"/>
      </w:pPr>
      <w:r w:rsidRPr="00B156FB">
        <w:rPr>
          <w:highlight w:val="yellow"/>
        </w:rPr>
        <w:t>En la planilla que yo manejo la tendencia aplicada fue la lineal</w:t>
      </w:r>
    </w:p>
    <w:sectPr w:rsidR="00B156F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AFB1F" w14:textId="77777777" w:rsidR="00EB18FA" w:rsidRDefault="00EB18FA" w:rsidP="00BE6CE6">
      <w:pPr>
        <w:spacing w:after="0" w:line="240" w:lineRule="auto"/>
      </w:pPr>
      <w:r>
        <w:separator/>
      </w:r>
    </w:p>
  </w:endnote>
  <w:endnote w:type="continuationSeparator" w:id="0">
    <w:p w14:paraId="3608EA04" w14:textId="77777777" w:rsidR="00EB18FA" w:rsidRDefault="00EB18FA" w:rsidP="00BE6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203FF" w14:textId="77777777" w:rsidR="00EB18FA" w:rsidRDefault="00EB18FA" w:rsidP="00BE6CE6">
      <w:pPr>
        <w:spacing w:after="0" w:line="240" w:lineRule="auto"/>
      </w:pPr>
      <w:r>
        <w:separator/>
      </w:r>
    </w:p>
  </w:footnote>
  <w:footnote w:type="continuationSeparator" w:id="0">
    <w:p w14:paraId="2826FE87" w14:textId="77777777" w:rsidR="00EB18FA" w:rsidRDefault="00EB18FA" w:rsidP="00BE6CE6">
      <w:pPr>
        <w:spacing w:after="0" w:line="240" w:lineRule="auto"/>
      </w:pPr>
      <w:r>
        <w:continuationSeparator/>
      </w:r>
    </w:p>
  </w:footnote>
  <w:footnote w:id="1">
    <w:p w14:paraId="59912A74" w14:textId="77777777" w:rsidR="00BE6CE6" w:rsidRPr="006B4F47" w:rsidRDefault="00BE6CE6">
      <w:pPr>
        <w:pStyle w:val="Textonotapie"/>
        <w:rPr>
          <w:lang w:val="en-US"/>
        </w:rPr>
      </w:pPr>
      <w:r>
        <w:rPr>
          <w:rStyle w:val="Refdenotaalpie"/>
        </w:rPr>
        <w:footnoteRef/>
      </w:r>
      <w:r w:rsidRPr="006B4F47">
        <w:rPr>
          <w:lang w:val="en-US"/>
        </w:rPr>
        <w:t xml:space="preserve"> Carlos </w:t>
      </w:r>
      <w:proofErr w:type="spellStart"/>
      <w:r w:rsidRPr="006B4F47">
        <w:rPr>
          <w:lang w:val="en-US"/>
        </w:rPr>
        <w:t>Welti</w:t>
      </w:r>
      <w:proofErr w:type="spellEnd"/>
      <w:r w:rsidRPr="006B4F47">
        <w:rPr>
          <w:lang w:val="en-US"/>
        </w:rPr>
        <w:t xml:space="preserve"> </w:t>
      </w:r>
      <w:proofErr w:type="spellStart"/>
      <w:r w:rsidRPr="006B4F47">
        <w:rPr>
          <w:lang w:val="en-US"/>
        </w:rPr>
        <w:t>Chanes</w:t>
      </w:r>
      <w:proofErr w:type="spellEnd"/>
      <w:r w:rsidRPr="006B4F47">
        <w:rPr>
          <w:lang w:val="en-US"/>
        </w:rPr>
        <w:t xml:space="preserve">, </w:t>
      </w:r>
      <w:proofErr w:type="spellStart"/>
      <w:r w:rsidRPr="006B4F47">
        <w:rPr>
          <w:lang w:val="en-US"/>
        </w:rPr>
        <w:t>Demografía</w:t>
      </w:r>
      <w:proofErr w:type="spellEnd"/>
      <w:r w:rsidRPr="006B4F47">
        <w:rPr>
          <w:lang w:val="en-US"/>
        </w:rPr>
        <w:t xml:space="preserve"> I, The John D. and Catherine T. MacArthur Foundation, México, 1997.</w:t>
      </w:r>
    </w:p>
  </w:footnote>
  <w:footnote w:id="2">
    <w:p w14:paraId="6A86BDF8" w14:textId="5968CA47" w:rsidR="006B4F47" w:rsidRPr="006B4F47" w:rsidRDefault="006B4F47">
      <w:pPr>
        <w:pStyle w:val="Textonotapie"/>
        <w:rPr>
          <w:lang w:val="en-US"/>
        </w:rPr>
      </w:pPr>
      <w:r>
        <w:rPr>
          <w:rStyle w:val="Refdenotaalpie"/>
        </w:rPr>
        <w:footnoteRef/>
      </w:r>
      <w:r w:rsidRPr="006B4F47">
        <w:rPr>
          <w:lang w:val="en-US"/>
        </w:rPr>
        <w:t xml:space="preserve"> Pierre </w:t>
      </w:r>
      <w:proofErr w:type="spellStart"/>
      <w:r w:rsidRPr="006B4F47">
        <w:rPr>
          <w:lang w:val="en-US"/>
        </w:rPr>
        <w:t>Plamondon</w:t>
      </w:r>
      <w:proofErr w:type="spellEnd"/>
      <w:r w:rsidRPr="006B4F47">
        <w:rPr>
          <w:lang w:val="en-US"/>
        </w:rPr>
        <w:t>, et. al., Actuarial practice in social security, I</w:t>
      </w:r>
      <w:r>
        <w:rPr>
          <w:lang w:val="en-US"/>
        </w:rPr>
        <w:t xml:space="preserve">LO, </w:t>
      </w:r>
      <w:proofErr w:type="spellStart"/>
      <w:r>
        <w:rPr>
          <w:lang w:val="en-US"/>
        </w:rPr>
        <w:t>Ginebra</w:t>
      </w:r>
      <w:proofErr w:type="spellEnd"/>
      <w:r>
        <w:rPr>
          <w:lang w:val="en-US"/>
        </w:rPr>
        <w:t>, 2002.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E6FDC"/>
    <w:multiLevelType w:val="hybridMultilevel"/>
    <w:tmpl w:val="4802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47A14"/>
    <w:multiLevelType w:val="hybridMultilevel"/>
    <w:tmpl w:val="2EE8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E47FE"/>
    <w:multiLevelType w:val="hybridMultilevel"/>
    <w:tmpl w:val="24DA1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D57F4"/>
    <w:multiLevelType w:val="hybridMultilevel"/>
    <w:tmpl w:val="A858DF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E9"/>
    <w:rsid w:val="0004571C"/>
    <w:rsid w:val="000474F2"/>
    <w:rsid w:val="001F0304"/>
    <w:rsid w:val="00573CB3"/>
    <w:rsid w:val="00676646"/>
    <w:rsid w:val="006B4F47"/>
    <w:rsid w:val="007914A4"/>
    <w:rsid w:val="008F3E87"/>
    <w:rsid w:val="00925CE9"/>
    <w:rsid w:val="009656C1"/>
    <w:rsid w:val="00B156FB"/>
    <w:rsid w:val="00BE6CE6"/>
    <w:rsid w:val="00C427D6"/>
    <w:rsid w:val="00EB18FA"/>
    <w:rsid w:val="00EC0949"/>
    <w:rsid w:val="00FD1ABA"/>
    <w:rsid w:val="00FD5F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44CD"/>
  <w15:chartTrackingRefBased/>
  <w15:docId w15:val="{D91B33C4-3FC8-47AA-BFE1-6A45839A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74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74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14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BE6CE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E6CE6"/>
    <w:rPr>
      <w:sz w:val="20"/>
      <w:szCs w:val="20"/>
    </w:rPr>
  </w:style>
  <w:style w:type="character" w:styleId="Refdenotaalpie">
    <w:name w:val="footnote reference"/>
    <w:basedOn w:val="Fuentedeprrafopredeter"/>
    <w:uiPriority w:val="99"/>
    <w:semiHidden/>
    <w:unhideWhenUsed/>
    <w:rsid w:val="00BE6CE6"/>
    <w:rPr>
      <w:vertAlign w:val="superscript"/>
    </w:rPr>
  </w:style>
  <w:style w:type="paragraph" w:styleId="Prrafodelista">
    <w:name w:val="List Paragraph"/>
    <w:basedOn w:val="Normal"/>
    <w:uiPriority w:val="34"/>
    <w:qFormat/>
    <w:rsid w:val="006B4F47"/>
    <w:pPr>
      <w:ind w:left="720"/>
      <w:contextualSpacing/>
    </w:pPr>
  </w:style>
  <w:style w:type="character" w:styleId="Hipervnculo">
    <w:name w:val="Hyperlink"/>
    <w:basedOn w:val="Fuentedeprrafopredeter"/>
    <w:uiPriority w:val="99"/>
    <w:unhideWhenUsed/>
    <w:rsid w:val="006B4F47"/>
    <w:rPr>
      <w:color w:val="0000FF"/>
      <w:u w:val="single"/>
    </w:rPr>
  </w:style>
  <w:style w:type="character" w:customStyle="1" w:styleId="Ttulo1Car">
    <w:name w:val="Título 1 Car"/>
    <w:basedOn w:val="Fuentedeprrafopredeter"/>
    <w:link w:val="Ttulo1"/>
    <w:uiPriority w:val="9"/>
    <w:rsid w:val="000474F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474F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7914A4"/>
    <w:rPr>
      <w:rFonts w:asciiTheme="majorHAnsi" w:eastAsiaTheme="majorEastAsia" w:hAnsiTheme="majorHAnsi" w:cstheme="majorBidi"/>
      <w:color w:val="1F4D78" w:themeColor="accent1" w:themeShade="7F"/>
      <w:sz w:val="24"/>
      <w:szCs w:val="24"/>
    </w:rPr>
  </w:style>
  <w:style w:type="character" w:styleId="Mencinsinresolver">
    <w:name w:val="Unresolved Mention"/>
    <w:basedOn w:val="Fuentedeprrafopredeter"/>
    <w:uiPriority w:val="99"/>
    <w:semiHidden/>
    <w:unhideWhenUsed/>
    <w:rsid w:val="00C42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Diego\AppData\Local\Temp\MicrosoftEdgeDownloads\9e03875f-8b82-4d81-a8d0-0513bde6552e\ADISS2016-457.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gle.com/url?sa=t&amp;rct=j&amp;q=&amp;esrc=s&amp;source=web&amp;cd=&amp;ved=2ahUKEwjEq7Ll8MPwAhV2KrkGHdNJA1EQFjAAegQIBBAD&amp;url=http%3A%2F%2Fwww.statssa.gov.za%2Fpublications%2FP0302%2Fspraque_table.xls&amp;usg=AOvVaw384AuN5zrQQglUqeWD2nW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BE52A-996B-4FC1-B34C-8670F680F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6</Pages>
  <Words>773</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mipc</dc:creator>
  <cp:keywords/>
  <dc:description/>
  <cp:lastModifiedBy>Diego Meza</cp:lastModifiedBy>
  <cp:revision>6</cp:revision>
  <dcterms:created xsi:type="dcterms:W3CDTF">2021-05-10T00:57:00Z</dcterms:created>
  <dcterms:modified xsi:type="dcterms:W3CDTF">2021-05-12T13:30:00Z</dcterms:modified>
</cp:coreProperties>
</file>