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DD64" w14:textId="6E3E6A5B" w:rsidR="006B4F47" w:rsidRPr="000474F2" w:rsidRDefault="006B4F47" w:rsidP="000474F2">
      <w:pPr>
        <w:pStyle w:val="Ttulo1"/>
        <w:jc w:val="center"/>
      </w:pPr>
      <w:r w:rsidRPr="000474F2">
        <w:t>Colaboración Técnica OIT – IPS</w:t>
      </w:r>
    </w:p>
    <w:p w14:paraId="0FC62EDE" w14:textId="5DBA0C09" w:rsidR="000474F2" w:rsidRDefault="000474F2" w:rsidP="000474F2">
      <w:pPr>
        <w:pStyle w:val="Ttulo2"/>
        <w:jc w:val="center"/>
      </w:pPr>
      <w:r>
        <w:t xml:space="preserve">Sesión </w:t>
      </w:r>
      <w:r w:rsidR="006261A4">
        <w:t>2</w:t>
      </w:r>
      <w:r>
        <w:t xml:space="preserve">: Revisión de la variable </w:t>
      </w:r>
      <w:r w:rsidR="006261A4">
        <w:t>mortalidad</w:t>
      </w:r>
      <w:r>
        <w:t xml:space="preserve"> y su estimación.</w:t>
      </w:r>
    </w:p>
    <w:p w14:paraId="2500E4D8" w14:textId="6AF7BD64" w:rsidR="007914A4" w:rsidRPr="007914A4" w:rsidRDefault="007914A4" w:rsidP="007914A4">
      <w:pPr>
        <w:pStyle w:val="Ttulo3"/>
        <w:jc w:val="center"/>
      </w:pPr>
      <w:r>
        <w:t>(</w:t>
      </w:r>
      <w:r w:rsidR="006261A4">
        <w:t>12</w:t>
      </w:r>
      <w:r>
        <w:t xml:space="preserve"> de mayo de 2021)</w:t>
      </w:r>
    </w:p>
    <w:p w14:paraId="3C65CC77" w14:textId="77777777" w:rsidR="000474F2" w:rsidRDefault="000474F2" w:rsidP="00FD5FE9">
      <w:pPr>
        <w:jc w:val="both"/>
      </w:pPr>
    </w:p>
    <w:p w14:paraId="11ADAB45" w14:textId="31F8A2D9" w:rsidR="006261A4" w:rsidRDefault="006261A4" w:rsidP="00FD5FE9">
      <w:pPr>
        <w:jc w:val="both"/>
      </w:pPr>
      <w:r>
        <w:t>Sin importar el tipo de población que se estudie en un sistema de beneficios previsionales, la mortalidad es el fenómeno demográfico que genera mayor impacto, al ser la principal causa de salida debido a que puede presentarse a cualquier edad y no es una causa que permita la reincorporación de la persona al grupo asegurado.</w:t>
      </w:r>
    </w:p>
    <w:p w14:paraId="6A77B751" w14:textId="4CE6DBB0" w:rsidR="00FD1ABA" w:rsidRDefault="006261A4" w:rsidP="00FD5FE9">
      <w:pPr>
        <w:jc w:val="both"/>
      </w:pPr>
      <w:r>
        <w:t xml:space="preserve">Como fue referido en el análisis de la variable fertilidad, la mortalidad es </w:t>
      </w:r>
      <w:r w:rsidR="00E45CB8">
        <w:t xml:space="preserve">una de las tres variables fundamentales </w:t>
      </w:r>
      <w:r w:rsidR="008F3E87">
        <w:t>en el modelo de proyección de la fuerza de trabajo que la Organización Internacional del Trabajo (OIT) recomienda,</w:t>
      </w:r>
      <w:r w:rsidR="006B4F47">
        <w:rPr>
          <w:rStyle w:val="Refdenotaalpie"/>
        </w:rPr>
        <w:footnoteReference w:id="1"/>
      </w:r>
      <w:r w:rsidR="008F3E87">
        <w:t xml:space="preserve"> </w:t>
      </w:r>
      <w:r w:rsidR="00E45CB8">
        <w:t>y junto con ésta, provoca el fenómeno conocido como transición demográfica</w:t>
      </w:r>
      <w:r w:rsidR="006B4F47">
        <w:t>.</w:t>
      </w:r>
    </w:p>
    <w:p w14:paraId="375F49E6" w14:textId="3F2C902B" w:rsidR="006B4F47" w:rsidRDefault="00D23CA2" w:rsidP="00FD5FE9">
      <w:pPr>
        <w:jc w:val="both"/>
      </w:pPr>
      <w:r>
        <w:t>Dicha transición debe ser tomada en consideración, en cualquier modelo de proyección a largo plazo, por lo que c</w:t>
      </w:r>
      <w:r w:rsidR="006B4F47">
        <w:t xml:space="preserve">on base en la información revisada en la video sesión del </w:t>
      </w:r>
      <w:r>
        <w:t>12</w:t>
      </w:r>
      <w:r w:rsidR="006B4F47">
        <w:t xml:space="preserve"> de mayo, sobre las estimaciones de </w:t>
      </w:r>
      <w:r>
        <w:t xml:space="preserve">mortalidad y su probable evolución </w:t>
      </w:r>
      <w:r w:rsidR="006B4F47">
        <w:t>para el horizonte de estudio de la valuación actuarial, el equipo consultor llevó a cabo el siguiente procedimiento:</w:t>
      </w:r>
    </w:p>
    <w:p w14:paraId="736A803D" w14:textId="2BA3A880" w:rsidR="006B4F47" w:rsidRDefault="006B4F47" w:rsidP="006B4F47">
      <w:pPr>
        <w:pStyle w:val="Prrafodelista"/>
      </w:pPr>
    </w:p>
    <w:p w14:paraId="2B422EFB" w14:textId="77777777" w:rsidR="00D23CA2" w:rsidRDefault="00D23CA2" w:rsidP="00D23CA2">
      <w:pPr>
        <w:pStyle w:val="Prrafodelista"/>
        <w:numPr>
          <w:ilvl w:val="0"/>
          <w:numId w:val="5"/>
        </w:numPr>
        <w:spacing w:line="256" w:lineRule="auto"/>
      </w:pPr>
      <w:r>
        <w:t xml:space="preserve">Se corroboró la información histórica del 2001 al cierre del 2021. </w:t>
      </w:r>
    </w:p>
    <w:p w14:paraId="251125FB" w14:textId="1513F1BA" w:rsidR="00D23CA2" w:rsidRDefault="00D23CA2" w:rsidP="00D23CA2">
      <w:r>
        <w:rPr>
          <w:noProof/>
        </w:rPr>
        <w:drawing>
          <wp:inline distT="0" distB="0" distL="0" distR="0" wp14:anchorId="35B937EF" wp14:editId="65414C2B">
            <wp:extent cx="5612130" cy="7753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t="-2" r="5322" b="-8411"/>
                    <a:stretch>
                      <a:fillRect/>
                    </a:stretch>
                  </pic:blipFill>
                  <pic:spPr bwMode="auto">
                    <a:xfrm>
                      <a:off x="0" y="0"/>
                      <a:ext cx="5612130" cy="775335"/>
                    </a:xfrm>
                    <a:prstGeom prst="rect">
                      <a:avLst/>
                    </a:prstGeom>
                    <a:noFill/>
                    <a:ln>
                      <a:noFill/>
                    </a:ln>
                  </pic:spPr>
                </pic:pic>
              </a:graphicData>
            </a:graphic>
          </wp:inline>
        </w:drawing>
      </w:r>
      <w:r>
        <w:rPr>
          <w:noProof/>
        </w:rPr>
        <w:drawing>
          <wp:inline distT="0" distB="0" distL="0" distR="0" wp14:anchorId="1DA3AD75" wp14:editId="684E1C24">
            <wp:extent cx="5610225" cy="771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771525"/>
                    </a:xfrm>
                    <a:prstGeom prst="rect">
                      <a:avLst/>
                    </a:prstGeom>
                    <a:noFill/>
                    <a:ln>
                      <a:noFill/>
                    </a:ln>
                  </pic:spPr>
                </pic:pic>
              </a:graphicData>
            </a:graphic>
          </wp:inline>
        </w:drawing>
      </w:r>
    </w:p>
    <w:p w14:paraId="1DEADD03" w14:textId="77777777" w:rsidR="00D23CA2" w:rsidRDefault="00D23CA2" w:rsidP="00D23CA2">
      <w:pPr>
        <w:jc w:val="center"/>
        <w:rPr>
          <w:sz w:val="14"/>
          <w:szCs w:val="14"/>
        </w:rPr>
      </w:pPr>
      <w:r>
        <w:rPr>
          <w:sz w:val="14"/>
          <w:szCs w:val="14"/>
        </w:rPr>
        <w:t>Fuente: Proyección de la Población Nacional, Áreas Urbana y Rural por Sexo y Edad, 2000-2025. Revisión 2015.</w:t>
      </w:r>
    </w:p>
    <w:p w14:paraId="562D72DD" w14:textId="77777777" w:rsidR="00D23CA2" w:rsidRDefault="00D23CA2" w:rsidP="00D23CA2">
      <w:pPr>
        <w:rPr>
          <w:sz w:val="14"/>
          <w:szCs w:val="14"/>
        </w:rPr>
      </w:pPr>
    </w:p>
    <w:p w14:paraId="289C59A9" w14:textId="64266D57" w:rsidR="00D23CA2" w:rsidRDefault="00D23CA2" w:rsidP="00D23CA2">
      <w:pPr>
        <w:pStyle w:val="Prrafodelista"/>
        <w:numPr>
          <w:ilvl w:val="0"/>
          <w:numId w:val="5"/>
        </w:numPr>
        <w:spacing w:line="256" w:lineRule="auto"/>
      </w:pPr>
      <w:r>
        <w:t>Se corroboró la estimación de la esperanza de vida al nacer quinquenal</w:t>
      </w:r>
      <w:r>
        <w:t>,</w:t>
      </w:r>
      <w:r>
        <w:t xml:space="preserve"> de acuerdo con el aumento correspondiente al escenario lento. </w:t>
      </w:r>
    </w:p>
    <w:p w14:paraId="112865EA" w14:textId="77777777" w:rsidR="00D23CA2" w:rsidRDefault="00D23CA2" w:rsidP="00D23CA2">
      <w:pPr>
        <w:pStyle w:val="Prrafodelista"/>
      </w:pPr>
    </w:p>
    <w:p w14:paraId="55DA7A5A" w14:textId="77777777" w:rsidR="00D23CA2" w:rsidRDefault="00D23CA2" w:rsidP="00D23CA2">
      <w:pPr>
        <w:pStyle w:val="Prrafodelista"/>
        <w:numPr>
          <w:ilvl w:val="0"/>
          <w:numId w:val="5"/>
        </w:numPr>
        <w:spacing w:line="276" w:lineRule="auto"/>
        <w:jc w:val="both"/>
        <w:rPr>
          <w:rFonts w:cstheme="minorHAnsi"/>
          <w:szCs w:val="24"/>
        </w:rPr>
      </w:pPr>
      <w:r>
        <w:rPr>
          <w:rFonts w:cstheme="minorHAnsi"/>
          <w:szCs w:val="24"/>
        </w:rPr>
        <w:t xml:space="preserve">Posteriormente se corroboró el cálculo de las tasas de mortalidad por edad y año de proyección con la interpolación entre las probabilidades de mortalidad ponderada de acuerdo con la siguiente fórmula: </w:t>
      </w:r>
    </w:p>
    <w:p w14:paraId="3994BF50" w14:textId="77777777" w:rsidR="00D23CA2" w:rsidRDefault="00D23CA2" w:rsidP="00D23CA2">
      <w:pPr>
        <w:pStyle w:val="Prrafodelista"/>
        <w:jc w:val="center"/>
        <w:rPr>
          <w:rFonts w:eastAsiaTheme="minorEastAsia"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q</m:t>
              </m:r>
            </m:e>
            <m:sub>
              <m:r>
                <w:rPr>
                  <w:rFonts w:ascii="Cambria Math" w:hAnsi="Cambria Math" w:cstheme="minorHAnsi"/>
                  <w:szCs w:val="24"/>
                </w:rPr>
                <m:t>(x,s,t)</m:t>
              </m:r>
            </m:sub>
          </m:sSub>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1-w</m:t>
              </m:r>
            </m:e>
          </m:d>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q</m:t>
              </m:r>
            </m:e>
            <m:sub>
              <m:r>
                <w:rPr>
                  <w:rFonts w:ascii="Cambria Math" w:hAnsi="Cambria Math" w:cstheme="minorHAnsi"/>
                  <w:szCs w:val="24"/>
                </w:rPr>
                <m:t>inf</m:t>
              </m:r>
            </m:sub>
          </m:sSub>
          <m:r>
            <w:rPr>
              <w:rFonts w:ascii="Cambria Math" w:hAnsi="Cambria Math" w:cstheme="minorHAnsi"/>
              <w:szCs w:val="24"/>
            </w:rPr>
            <m:t>+w*</m:t>
          </m:r>
          <m:sSub>
            <m:sSubPr>
              <m:ctrlPr>
                <w:rPr>
                  <w:rFonts w:ascii="Cambria Math" w:hAnsi="Cambria Math" w:cstheme="minorHAnsi"/>
                  <w:i/>
                  <w:szCs w:val="24"/>
                </w:rPr>
              </m:ctrlPr>
            </m:sSubPr>
            <m:e>
              <m:r>
                <w:rPr>
                  <w:rFonts w:ascii="Cambria Math" w:hAnsi="Cambria Math" w:cstheme="minorHAnsi"/>
                  <w:szCs w:val="24"/>
                </w:rPr>
                <m:t>q</m:t>
              </m:r>
            </m:e>
            <m:sub>
              <m:r>
                <w:rPr>
                  <w:rFonts w:ascii="Cambria Math" w:hAnsi="Cambria Math" w:cstheme="minorHAnsi"/>
                  <w:szCs w:val="24"/>
                </w:rPr>
                <m:t>sup</m:t>
              </m:r>
            </m:sub>
          </m:sSub>
        </m:oMath>
      </m:oMathPara>
    </w:p>
    <w:p w14:paraId="1A7C3A21" w14:textId="77777777" w:rsidR="00D23CA2" w:rsidRDefault="00D23CA2" w:rsidP="00D23CA2">
      <w:pPr>
        <w:rPr>
          <w:rFonts w:cstheme="minorHAnsi"/>
          <w:szCs w:val="24"/>
        </w:rPr>
      </w:pPr>
      <w:r>
        <w:rPr>
          <w:rFonts w:cstheme="minorHAnsi"/>
          <w:szCs w:val="24"/>
        </w:rPr>
        <w:lastRenderedPageBreak/>
        <w:t xml:space="preserve">              Donde:</w:t>
      </w:r>
    </w:p>
    <w:p w14:paraId="2ACEC434" w14:textId="77777777" w:rsidR="00D23CA2" w:rsidRDefault="00D23CA2" w:rsidP="00D23CA2">
      <w:pPr>
        <w:rPr>
          <w:rFonts w:eastAsiaTheme="minorEastAsia" w:cstheme="minorHAnsi"/>
          <w:szCs w:val="24"/>
        </w:rPr>
      </w:pPr>
      <m:oMathPara>
        <m:oMath>
          <m:r>
            <w:rPr>
              <w:rFonts w:ascii="Cambria Math" w:hAnsi="Cambria Math" w:cstheme="minorHAnsi"/>
              <w:szCs w:val="24"/>
            </w:rPr>
            <m:t>w=</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e</m:t>
                  </m:r>
                </m:e>
                <m:sub>
                  <m:r>
                    <w:rPr>
                      <w:rFonts w:ascii="Cambria Math" w:hAnsi="Cambria Math" w:cstheme="minorHAnsi"/>
                      <w:szCs w:val="24"/>
                    </w:rPr>
                    <m:t>(x,s,t)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e</m:t>
                  </m:r>
                </m:e>
                <m:sub>
                  <m:r>
                    <w:rPr>
                      <w:rFonts w:ascii="Cambria Math" w:hAnsi="Cambria Math" w:cstheme="minorHAnsi"/>
                      <w:szCs w:val="24"/>
                    </w:rPr>
                    <m:t>sup</m:t>
                  </m:r>
                </m:sub>
              </m:sSub>
            </m:num>
            <m:den>
              <m:sSub>
                <m:sSubPr>
                  <m:ctrlPr>
                    <w:rPr>
                      <w:rFonts w:ascii="Cambria Math" w:hAnsi="Cambria Math" w:cstheme="minorHAnsi"/>
                      <w:i/>
                      <w:szCs w:val="24"/>
                    </w:rPr>
                  </m:ctrlPr>
                </m:sSubPr>
                <m:e>
                  <m:r>
                    <w:rPr>
                      <w:rFonts w:ascii="Cambria Math" w:hAnsi="Cambria Math" w:cstheme="minorHAnsi"/>
                      <w:szCs w:val="24"/>
                    </w:rPr>
                    <m:t>e</m:t>
                  </m:r>
                </m:e>
                <m:sub>
                  <m:r>
                    <w:rPr>
                      <w:rFonts w:ascii="Cambria Math" w:hAnsi="Cambria Math" w:cstheme="minorHAnsi"/>
                      <w:szCs w:val="24"/>
                    </w:rPr>
                    <m:t>sup</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e</m:t>
                  </m:r>
                </m:e>
                <m:sub>
                  <m:r>
                    <w:rPr>
                      <w:rFonts w:ascii="Cambria Math" w:hAnsi="Cambria Math" w:cstheme="minorHAnsi"/>
                      <w:szCs w:val="24"/>
                    </w:rPr>
                    <m:t>inf</m:t>
                  </m:r>
                </m:sub>
              </m:sSub>
            </m:den>
          </m:f>
        </m:oMath>
      </m:oMathPara>
    </w:p>
    <w:p w14:paraId="5949CBEA" w14:textId="77777777" w:rsidR="00D23CA2" w:rsidRDefault="00D23CA2" w:rsidP="00D23CA2">
      <w:pPr>
        <w:pStyle w:val="Prrafodelista"/>
      </w:pPr>
    </w:p>
    <w:p w14:paraId="7F20C5B7" w14:textId="77777777" w:rsidR="00D23CA2" w:rsidRDefault="00D23CA2" w:rsidP="00D23CA2">
      <w:pPr>
        <w:pStyle w:val="Prrafodelista"/>
        <w:numPr>
          <w:ilvl w:val="0"/>
          <w:numId w:val="6"/>
        </w:numPr>
        <w:spacing w:line="276" w:lineRule="auto"/>
        <w:jc w:val="both"/>
        <w:rPr>
          <w:rFonts w:cstheme="minorHAnsi"/>
          <w:szCs w:val="24"/>
        </w:rPr>
      </w:pPr>
      <w:r>
        <w:rPr>
          <w:rFonts w:cstheme="minorHAnsi"/>
          <w:szCs w:val="24"/>
        </w:rPr>
        <w:t>Finalmente, se corroboraron los cálculos para desagregar las tablas con datos quinquenales, aplicando la interpolación exponencial conforme a la siguiente fórmula:</w:t>
      </w:r>
    </w:p>
    <w:p w14:paraId="274E0B66" w14:textId="77777777" w:rsidR="00D23CA2" w:rsidRDefault="00D23CA2" w:rsidP="00D23CA2">
      <w:pPr>
        <w:rPr>
          <w:rFonts w:eastAsiaTheme="minorEastAsia"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q</m:t>
              </m:r>
            </m:e>
            <m:sub>
              <m:d>
                <m:dPr>
                  <m:ctrlPr>
                    <w:rPr>
                      <w:rFonts w:ascii="Cambria Math" w:hAnsi="Cambria Math" w:cstheme="minorHAnsi"/>
                      <w:i/>
                      <w:szCs w:val="24"/>
                    </w:rPr>
                  </m:ctrlPr>
                </m:dPr>
                <m:e>
                  <m:r>
                    <w:rPr>
                      <w:rFonts w:ascii="Cambria Math" w:hAnsi="Cambria Math" w:cstheme="minorHAnsi"/>
                      <w:szCs w:val="24"/>
                    </w:rPr>
                    <m:t>x,s,t</m:t>
                  </m:r>
                </m:e>
              </m:d>
            </m:sub>
          </m:sSub>
          <m:r>
            <w:rPr>
              <w:rFonts w:ascii="Cambria Math" w:hAnsi="Cambria Math" w:cstheme="minorHAnsi"/>
              <w:szCs w:val="24"/>
            </w:rPr>
            <m:t>=exp</m:t>
          </m:r>
          <m:d>
            <m:dPr>
              <m:begChr m:val="["/>
              <m:endChr m:val="]"/>
              <m:ctrlPr>
                <w:rPr>
                  <w:rFonts w:ascii="Cambria Math" w:hAnsi="Cambria Math" w:cstheme="minorHAnsi"/>
                  <w:i/>
                  <w:szCs w:val="24"/>
                </w:rPr>
              </m:ctrlPr>
            </m:dPr>
            <m:e>
              <m:f>
                <m:fPr>
                  <m:ctrlPr>
                    <w:rPr>
                      <w:rFonts w:ascii="Cambria Math" w:hAnsi="Cambria Math" w:cstheme="minorHAnsi"/>
                      <w:i/>
                      <w:szCs w:val="24"/>
                    </w:rPr>
                  </m:ctrlPr>
                </m:fPr>
                <m:num>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5</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i</m:t>
                          </m:r>
                        </m:sub>
                      </m:sSub>
                    </m:e>
                  </m:d>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0</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i</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5</m:t>
                      </m:r>
                    </m:sub>
                  </m:sSub>
                </m:num>
                <m:den>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5</m:t>
                      </m:r>
                    </m:sub>
                  </m:sSub>
                </m:den>
              </m:f>
            </m:e>
          </m:d>
        </m:oMath>
      </m:oMathPara>
    </w:p>
    <w:p w14:paraId="7817FCBA" w14:textId="77777777" w:rsidR="00D23CA2" w:rsidRDefault="00D23CA2" w:rsidP="00D23CA2">
      <w:pPr>
        <w:pStyle w:val="Prrafodelista"/>
      </w:pPr>
    </w:p>
    <w:p w14:paraId="2512A563" w14:textId="180BB669" w:rsidR="00B77ABE" w:rsidRDefault="000474F2" w:rsidP="00FD5FE9">
      <w:pPr>
        <w:jc w:val="both"/>
      </w:pPr>
      <w:r>
        <w:t xml:space="preserve">Tras la revisión descrita, se </w:t>
      </w:r>
      <w:r w:rsidR="00B77ABE">
        <w:t xml:space="preserve">observó que </w:t>
      </w:r>
      <w:r w:rsidR="00B77ABE">
        <w:t xml:space="preserve">no </w:t>
      </w:r>
      <w:r w:rsidR="00B77ABE">
        <w:t>hay</w:t>
      </w:r>
      <w:r w:rsidR="00B77ABE">
        <w:t xml:space="preserve"> inconsistencias en los cálculos y se concluye que los resultados obtenidos son </w:t>
      </w:r>
      <w:r w:rsidR="00B77ABE">
        <w:t>congruentes</w:t>
      </w:r>
      <w:r w:rsidR="00B77ABE">
        <w:t xml:space="preserve"> con la metodología aplicada</w:t>
      </w:r>
      <w:r w:rsidR="00B77ABE">
        <w:t>.</w:t>
      </w:r>
    </w:p>
    <w:p w14:paraId="160B586A" w14:textId="73E5014D" w:rsidR="000474F2" w:rsidRDefault="00B77ABE" w:rsidP="00B77ABE">
      <w:pPr>
        <w:jc w:val="both"/>
        <w:rPr>
          <w:rFonts w:ascii="Calibri" w:hAnsi="Calibri" w:cs="Calibri"/>
          <w:color w:val="000000"/>
          <w:vertAlign w:val="subscript"/>
        </w:rPr>
      </w:pPr>
      <w:r>
        <w:t xml:space="preserve">Con base en lo anterior, únicamente se sugiere ampliar la justificación de por qué utilizada la aproximación de </w:t>
      </w:r>
      <w:r>
        <w:rPr>
          <w:rFonts w:ascii="Calibri" w:hAnsi="Calibri" w:cs="Calibri"/>
          <w:color w:val="000000"/>
        </w:rPr>
        <w:t>Heligman y Pollard</w:t>
      </w:r>
      <w:r>
        <w:rPr>
          <w:rFonts w:ascii="Calibri" w:hAnsi="Calibri" w:cs="Calibri"/>
          <w:color w:val="000000"/>
        </w:rPr>
        <w:t xml:space="preserve"> para obtener las q</w:t>
      </w:r>
      <w:r w:rsidRPr="00B77ABE">
        <w:rPr>
          <w:rFonts w:ascii="Calibri" w:hAnsi="Calibri" w:cs="Calibri"/>
          <w:color w:val="000000"/>
          <w:vertAlign w:val="subscript"/>
        </w:rPr>
        <w:t>x</w:t>
      </w:r>
    </w:p>
    <w:p w14:paraId="0BC0A4CB" w14:textId="77777777" w:rsidR="00B77ABE" w:rsidRPr="00B77ABE" w:rsidRDefault="00B77ABE" w:rsidP="00B77ABE">
      <w:pPr>
        <w:jc w:val="both"/>
      </w:pPr>
    </w:p>
    <w:sectPr w:rsidR="00B77ABE" w:rsidRPr="00B77AB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4C211" w14:textId="77777777" w:rsidR="00BE6CE6" w:rsidRDefault="00BE6CE6" w:rsidP="00BE6CE6">
      <w:pPr>
        <w:spacing w:after="0" w:line="240" w:lineRule="auto"/>
      </w:pPr>
      <w:r>
        <w:separator/>
      </w:r>
    </w:p>
  </w:endnote>
  <w:endnote w:type="continuationSeparator" w:id="0">
    <w:p w14:paraId="59C6EB32" w14:textId="77777777" w:rsidR="00BE6CE6" w:rsidRDefault="00BE6CE6" w:rsidP="00BE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68D8" w14:textId="77777777" w:rsidR="00BE6CE6" w:rsidRDefault="00BE6CE6" w:rsidP="00BE6CE6">
      <w:pPr>
        <w:spacing w:after="0" w:line="240" w:lineRule="auto"/>
      </w:pPr>
      <w:r>
        <w:separator/>
      </w:r>
    </w:p>
  </w:footnote>
  <w:footnote w:type="continuationSeparator" w:id="0">
    <w:p w14:paraId="610E5EBE" w14:textId="77777777" w:rsidR="00BE6CE6" w:rsidRDefault="00BE6CE6" w:rsidP="00BE6CE6">
      <w:pPr>
        <w:spacing w:after="0" w:line="240" w:lineRule="auto"/>
      </w:pPr>
      <w:r>
        <w:continuationSeparator/>
      </w:r>
    </w:p>
  </w:footnote>
  <w:footnote w:id="1">
    <w:p w14:paraId="6A86BDF8" w14:textId="5968CA47" w:rsidR="006B4F47" w:rsidRPr="006B4F47" w:rsidRDefault="006B4F47">
      <w:pPr>
        <w:pStyle w:val="Textonotapie"/>
        <w:rPr>
          <w:lang w:val="en-US"/>
        </w:rPr>
      </w:pPr>
      <w:r>
        <w:rPr>
          <w:rStyle w:val="Refdenotaalpie"/>
        </w:rPr>
        <w:footnoteRef/>
      </w:r>
      <w:r w:rsidRPr="006B4F47">
        <w:rPr>
          <w:lang w:val="en-US"/>
        </w:rPr>
        <w:t xml:space="preserve"> Pierre Plamondon, et. al., Actuarial practice in social security, I</w:t>
      </w:r>
      <w:r>
        <w:rPr>
          <w:lang w:val="en-US"/>
        </w:rPr>
        <w:t>LO, Ginebra, 2002.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FDC"/>
    <w:multiLevelType w:val="hybridMultilevel"/>
    <w:tmpl w:val="4802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47A14"/>
    <w:multiLevelType w:val="hybridMultilevel"/>
    <w:tmpl w:val="2EE8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E47FE"/>
    <w:multiLevelType w:val="hybridMultilevel"/>
    <w:tmpl w:val="24DA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D57F4"/>
    <w:multiLevelType w:val="hybridMultilevel"/>
    <w:tmpl w:val="A858DF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7DD31D9"/>
    <w:multiLevelType w:val="hybridMultilevel"/>
    <w:tmpl w:val="0A9C4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9B47885"/>
    <w:multiLevelType w:val="hybridMultilevel"/>
    <w:tmpl w:val="FC480C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E9"/>
    <w:rsid w:val="000474F2"/>
    <w:rsid w:val="00261DAD"/>
    <w:rsid w:val="006261A4"/>
    <w:rsid w:val="006B4F47"/>
    <w:rsid w:val="007914A4"/>
    <w:rsid w:val="008F3E87"/>
    <w:rsid w:val="00925CE9"/>
    <w:rsid w:val="009656C1"/>
    <w:rsid w:val="00B77ABE"/>
    <w:rsid w:val="00BE6CE6"/>
    <w:rsid w:val="00D23CA2"/>
    <w:rsid w:val="00E45CB8"/>
    <w:rsid w:val="00F3725C"/>
    <w:rsid w:val="00FD1ABA"/>
    <w:rsid w:val="00FD5F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44CD"/>
  <w15:chartTrackingRefBased/>
  <w15:docId w15:val="{D91B33C4-3FC8-47AA-BFE1-6A45839A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74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74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14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E6CE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6CE6"/>
    <w:rPr>
      <w:sz w:val="20"/>
      <w:szCs w:val="20"/>
    </w:rPr>
  </w:style>
  <w:style w:type="character" w:styleId="Refdenotaalpie">
    <w:name w:val="footnote reference"/>
    <w:basedOn w:val="Fuentedeprrafopredeter"/>
    <w:uiPriority w:val="99"/>
    <w:semiHidden/>
    <w:unhideWhenUsed/>
    <w:rsid w:val="00BE6CE6"/>
    <w:rPr>
      <w:vertAlign w:val="superscript"/>
    </w:rPr>
  </w:style>
  <w:style w:type="paragraph" w:styleId="Prrafodelista">
    <w:name w:val="List Paragraph"/>
    <w:basedOn w:val="Normal"/>
    <w:uiPriority w:val="34"/>
    <w:qFormat/>
    <w:rsid w:val="006B4F47"/>
    <w:pPr>
      <w:ind w:left="720"/>
      <w:contextualSpacing/>
    </w:pPr>
  </w:style>
  <w:style w:type="character" w:styleId="Hipervnculo">
    <w:name w:val="Hyperlink"/>
    <w:basedOn w:val="Fuentedeprrafopredeter"/>
    <w:uiPriority w:val="99"/>
    <w:unhideWhenUsed/>
    <w:rsid w:val="006B4F47"/>
    <w:rPr>
      <w:color w:val="0000FF"/>
      <w:u w:val="single"/>
    </w:rPr>
  </w:style>
  <w:style w:type="character" w:customStyle="1" w:styleId="Ttulo1Car">
    <w:name w:val="Título 1 Car"/>
    <w:basedOn w:val="Fuentedeprrafopredeter"/>
    <w:link w:val="Ttulo1"/>
    <w:uiPriority w:val="9"/>
    <w:rsid w:val="000474F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474F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914A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46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BE52A-996B-4FC1-B34C-8670F680F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345</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mipc</dc:creator>
  <cp:keywords/>
  <dc:description/>
  <cp:lastModifiedBy>carlos.contreras_ciss@outlook.com</cp:lastModifiedBy>
  <cp:revision>4</cp:revision>
  <dcterms:created xsi:type="dcterms:W3CDTF">2021-05-17T22:41:00Z</dcterms:created>
  <dcterms:modified xsi:type="dcterms:W3CDTF">2021-05-17T22:59:00Z</dcterms:modified>
</cp:coreProperties>
</file>