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firstLine="850.3937007874017"/>
        <w:contextualSpacing w:val="0"/>
        <w:rPr>
          <w:b w:val="1"/>
          <w:u w:val="single"/>
        </w:rPr>
      </w:pPr>
      <w:r w:rsidDel="00000000" w:rsidR="00000000" w:rsidRPr="00000000">
        <w:rPr>
          <w:b w:val="1"/>
          <w:u w:val="single"/>
          <w:rtl w:val="0"/>
        </w:rPr>
        <w:t xml:space="preserve">Material &amp; Methods</w:t>
      </w:r>
    </w:p>
    <w:p w:rsidR="00000000" w:rsidDel="00000000" w:rsidP="00000000" w:rsidRDefault="00000000" w:rsidRPr="00000000" w14:paraId="00000001">
      <w:pPr>
        <w:ind w:firstLine="850.3937007874017"/>
        <w:contextualSpacing w:val="0"/>
        <w:rPr/>
      </w:pPr>
      <w:r w:rsidDel="00000000" w:rsidR="00000000" w:rsidRPr="00000000">
        <w:rPr>
          <w:rtl w:val="0"/>
        </w:rPr>
      </w:r>
    </w:p>
    <w:p w:rsidR="00000000" w:rsidDel="00000000" w:rsidP="00000000" w:rsidRDefault="00000000" w:rsidRPr="00000000" w14:paraId="00000002">
      <w:pPr>
        <w:ind w:firstLine="850.3937007874017"/>
        <w:contextualSpacing w:val="0"/>
        <w:rPr>
          <w:u w:val="single"/>
        </w:rPr>
      </w:pPr>
      <w:r w:rsidDel="00000000" w:rsidR="00000000" w:rsidRPr="00000000">
        <w:rPr>
          <w:u w:val="single"/>
          <w:rtl w:val="0"/>
        </w:rPr>
        <w:t xml:space="preserve">Single cell dataset</w:t>
      </w:r>
    </w:p>
    <w:p w:rsidR="00000000" w:rsidDel="00000000" w:rsidP="00000000" w:rsidRDefault="00000000" w:rsidRPr="00000000" w14:paraId="00000003">
      <w:pPr>
        <w:ind w:firstLine="850.3937007874017"/>
        <w:contextualSpacing w:val="0"/>
        <w:rPr>
          <w:u w:val="single"/>
        </w:rPr>
      </w:pPr>
      <w:r w:rsidDel="00000000" w:rsidR="00000000" w:rsidRPr="00000000">
        <w:rPr>
          <w:rtl w:val="0"/>
        </w:rPr>
      </w:r>
    </w:p>
    <w:p w:rsidR="00000000" w:rsidDel="00000000" w:rsidP="00000000" w:rsidRDefault="00000000" w:rsidRPr="00000000" w14:paraId="00000004">
      <w:pPr>
        <w:ind w:firstLine="850.3937007874017"/>
        <w:contextualSpacing w:val="0"/>
        <w:jc w:val="both"/>
        <w:rPr/>
      </w:pPr>
      <w:r w:rsidDel="00000000" w:rsidR="00000000" w:rsidRPr="00000000">
        <w:rPr>
          <w:rtl w:val="0"/>
        </w:rPr>
        <w:t xml:space="preserve">Dataset raw count table and published metadata was downloaded from GSE63472 accession code. A modified seurat pipeline was used to re-analyze these single-cell RNAseq. First, genes that was not expressed in at least 10 cells were excluded from our analysis. After that, only cells with 500 to 5000 genes and less than 5% of mitochondrial genes expression were selected (n = 21494 cells). Metadata variables as number of genes and percentage of mitochondrial expression were also used to regress out some unnecessary clustering bias. Based on </w:t>
      </w:r>
      <w:r w:rsidDel="00000000" w:rsidR="00000000" w:rsidRPr="00000000">
        <w:rPr>
          <w:i w:val="1"/>
          <w:rtl w:val="0"/>
        </w:rPr>
        <w:t xml:space="preserve">PCElbowPlot</w:t>
      </w:r>
      <w:r w:rsidDel="00000000" w:rsidR="00000000" w:rsidRPr="00000000">
        <w:rPr>
          <w:rtl w:val="0"/>
        </w:rPr>
        <w:t xml:space="preserve">, we used 30 PC’s in </w:t>
      </w:r>
      <w:r w:rsidDel="00000000" w:rsidR="00000000" w:rsidRPr="00000000">
        <w:rPr>
          <w:i w:val="1"/>
          <w:rtl w:val="0"/>
        </w:rPr>
        <w:t xml:space="preserve">FindClusters</w:t>
      </w:r>
      <w:r w:rsidDel="00000000" w:rsidR="00000000" w:rsidRPr="00000000">
        <w:rPr>
          <w:rtl w:val="0"/>
        </w:rPr>
        <w:t xml:space="preserve"> (resolution = 2) and </w:t>
      </w:r>
      <w:r w:rsidDel="00000000" w:rsidR="00000000" w:rsidRPr="00000000">
        <w:rPr>
          <w:i w:val="1"/>
          <w:rtl w:val="0"/>
        </w:rPr>
        <w:t xml:space="preserve">RunTSNE</w:t>
      </w:r>
      <w:r w:rsidDel="00000000" w:rsidR="00000000" w:rsidRPr="00000000">
        <w:rPr>
          <w:rtl w:val="0"/>
        </w:rPr>
        <w:t xml:space="preserve"> seurat’s functions. After that, using old assigned clusters and markers found by </w:t>
      </w:r>
      <w:r w:rsidDel="00000000" w:rsidR="00000000" w:rsidRPr="00000000">
        <w:rPr>
          <w:i w:val="1"/>
          <w:rtl w:val="0"/>
        </w:rPr>
        <w:t xml:space="preserve">FindAllMarkers</w:t>
      </w:r>
      <w:r w:rsidDel="00000000" w:rsidR="00000000" w:rsidRPr="00000000">
        <w:rPr>
          <w:rtl w:val="0"/>
        </w:rPr>
        <w:t xml:space="preserve"> function, a new assigned clusters were labeled. Since our aim was analyze retinal cell groups, only amacrine, astrocytes, bipolar, cones, ganglion, horizontal, muller glia and rod cells were used (n = 21176). Cones and rod cells were merged in a single-group (Photoreceptors).</w:t>
      </w:r>
    </w:p>
    <w:p w:rsidR="00000000" w:rsidDel="00000000" w:rsidP="00000000" w:rsidRDefault="00000000" w:rsidRPr="00000000" w14:paraId="00000005">
      <w:pPr>
        <w:ind w:firstLine="850.3937007874017"/>
        <w:contextualSpacing w:val="0"/>
        <w:rPr/>
      </w:pPr>
      <w:r w:rsidDel="00000000" w:rsidR="00000000" w:rsidRPr="00000000">
        <w:rPr>
          <w:rtl w:val="0"/>
        </w:rPr>
      </w:r>
    </w:p>
    <w:p w:rsidR="00000000" w:rsidDel="00000000" w:rsidP="00000000" w:rsidRDefault="00000000" w:rsidRPr="00000000" w14:paraId="00000006">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7">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8">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9">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A">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B">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C">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D">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E">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0F">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0">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1">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2">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3">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4">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5">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6">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7">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8">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9">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A">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B">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C">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D">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E">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1F">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0">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1">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2">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3">
      <w:pPr>
        <w:ind w:firstLine="850.3937007874017"/>
        <w:contextualSpacing w:val="0"/>
        <w:rPr>
          <w:b w:val="1"/>
          <w:u w:val="single"/>
        </w:rPr>
      </w:pPr>
      <w:r w:rsidDel="00000000" w:rsidR="00000000" w:rsidRPr="00000000">
        <w:rPr>
          <w:b w:val="1"/>
          <w:u w:val="single"/>
          <w:rtl w:val="0"/>
        </w:rPr>
        <w:t xml:space="preserve">Results</w:t>
      </w:r>
    </w:p>
    <w:p w:rsidR="00000000" w:rsidDel="00000000" w:rsidP="00000000" w:rsidRDefault="00000000" w:rsidRPr="00000000" w14:paraId="00000024">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5">
      <w:pPr>
        <w:ind w:firstLine="850.3937007874017"/>
        <w:contextualSpacing w:val="0"/>
        <w:rPr/>
      </w:pPr>
      <w:r w:rsidDel="00000000" w:rsidR="00000000" w:rsidRPr="00000000">
        <w:rPr>
          <w:rtl w:val="0"/>
        </w:rPr>
        <w:t xml:space="preserve">To better understand expression of some markers in retina cell groups, we used a published dataset by macosko and collaborators. Based on new clustering analysis and previous assignment, we establish new assigned clusters (Supplementary figure 1). In each group it was found differentially expressed genes, for example, Amacrine (</w:t>
      </w:r>
      <w:r w:rsidDel="00000000" w:rsidR="00000000" w:rsidRPr="00000000">
        <w:rPr>
          <w:i w:val="1"/>
          <w:rtl w:val="0"/>
        </w:rPr>
        <w:t xml:space="preserve">Rlbp1, Glul</w:t>
      </w:r>
      <w:r w:rsidDel="00000000" w:rsidR="00000000" w:rsidRPr="00000000">
        <w:rPr>
          <w:rtl w:val="0"/>
        </w:rPr>
        <w:t xml:space="preserve">), Astrocytes (</w:t>
      </w:r>
      <w:r w:rsidDel="00000000" w:rsidR="00000000" w:rsidRPr="00000000">
        <w:rPr>
          <w:i w:val="1"/>
          <w:rtl w:val="0"/>
        </w:rPr>
        <w:t xml:space="preserve">Gfap</w:t>
      </w:r>
      <w:r w:rsidDel="00000000" w:rsidR="00000000" w:rsidRPr="00000000">
        <w:rPr>
          <w:rtl w:val="0"/>
        </w:rPr>
        <w:t xml:space="preserve">), Photoreceptors (</w:t>
      </w:r>
      <w:r w:rsidDel="00000000" w:rsidR="00000000" w:rsidRPr="00000000">
        <w:rPr>
          <w:i w:val="1"/>
          <w:rtl w:val="0"/>
        </w:rPr>
        <w:t xml:space="preserve">Nrl, Rho, Rcvrn, Pde6g</w:t>
      </w:r>
      <w:r w:rsidDel="00000000" w:rsidR="00000000" w:rsidRPr="00000000">
        <w:rPr>
          <w:rtl w:val="0"/>
        </w:rPr>
        <w:t xml:space="preserve">), Horizontal (</w:t>
      </w:r>
      <w:r w:rsidDel="00000000" w:rsidR="00000000" w:rsidRPr="00000000">
        <w:rPr>
          <w:i w:val="1"/>
          <w:rtl w:val="0"/>
        </w:rPr>
        <w:t xml:space="preserve">Prox1, Lhx1</w:t>
      </w:r>
      <w:r w:rsidDel="00000000" w:rsidR="00000000" w:rsidRPr="00000000">
        <w:rPr>
          <w:rtl w:val="0"/>
        </w:rPr>
        <w:t xml:space="preserve">), Bipolar (</w:t>
      </w:r>
      <w:r w:rsidDel="00000000" w:rsidR="00000000" w:rsidRPr="00000000">
        <w:rPr>
          <w:i w:val="1"/>
          <w:rtl w:val="0"/>
        </w:rPr>
        <w:t xml:space="preserve">Vsx2</w:t>
      </w:r>
      <w:r w:rsidDel="00000000" w:rsidR="00000000" w:rsidRPr="00000000">
        <w:rPr>
          <w:rtl w:val="0"/>
        </w:rPr>
        <w:t xml:space="preserve">), Amacrine (</w:t>
      </w:r>
      <w:r w:rsidDel="00000000" w:rsidR="00000000" w:rsidRPr="00000000">
        <w:rPr>
          <w:i w:val="1"/>
          <w:rtl w:val="0"/>
        </w:rPr>
        <w:t xml:space="preserve">Pax6, Slc32a1, Gad1, Gad2</w:t>
      </w:r>
      <w:r w:rsidDel="00000000" w:rsidR="00000000" w:rsidRPr="00000000">
        <w:rPr>
          <w:rtl w:val="0"/>
        </w:rPr>
        <w:t xml:space="preserve">) and RGCs (</w:t>
      </w:r>
      <w:r w:rsidDel="00000000" w:rsidR="00000000" w:rsidRPr="00000000">
        <w:rPr>
          <w:i w:val="1"/>
          <w:rtl w:val="0"/>
        </w:rPr>
        <w:t xml:space="preserve">Slc17a6, Calb2, Pou4f1, Syn1, Rbfox3, Tubb3, Pvalb</w:t>
      </w:r>
      <w:r w:rsidDel="00000000" w:rsidR="00000000" w:rsidRPr="00000000">
        <w:rPr>
          <w:rtl w:val="0"/>
        </w:rPr>
        <w:t xml:space="preserve">) (Figure 1 and Table 1). </w:t>
      </w:r>
      <w:r w:rsidDel="00000000" w:rsidR="00000000" w:rsidRPr="00000000">
        <w:rPr>
          <w:i w:val="1"/>
          <w:rtl w:val="0"/>
        </w:rPr>
        <w:t xml:space="preserve">Chat</w:t>
      </w:r>
      <w:r w:rsidDel="00000000" w:rsidR="00000000" w:rsidRPr="00000000">
        <w:rPr>
          <w:rtl w:val="0"/>
        </w:rPr>
        <w:t xml:space="preserve"> and </w:t>
      </w:r>
      <w:r w:rsidDel="00000000" w:rsidR="00000000" w:rsidRPr="00000000">
        <w:rPr>
          <w:i w:val="1"/>
          <w:rtl w:val="0"/>
        </w:rPr>
        <w:t xml:space="preserve">Th</w:t>
      </w:r>
      <w:r w:rsidDel="00000000" w:rsidR="00000000" w:rsidRPr="00000000">
        <w:rPr>
          <w:rtl w:val="0"/>
        </w:rPr>
        <w:t xml:space="preserve"> had not a significant expression in any of our assigned groups (Figure 1).</w:t>
      </w:r>
    </w:p>
    <w:p w:rsidR="00000000" w:rsidDel="00000000" w:rsidP="00000000" w:rsidRDefault="00000000" w:rsidRPr="00000000" w14:paraId="00000026">
      <w:pPr>
        <w:ind w:firstLine="850.3937007874017"/>
        <w:contextualSpacing w:val="0"/>
        <w:rPr/>
      </w:pPr>
      <w:r w:rsidDel="00000000" w:rsidR="00000000" w:rsidRPr="00000000">
        <w:rPr>
          <w:rtl w:val="0"/>
        </w:rPr>
      </w:r>
    </w:p>
    <w:p w:rsidR="00000000" w:rsidDel="00000000" w:rsidP="00000000" w:rsidRDefault="00000000" w:rsidRPr="00000000" w14:paraId="00000027">
      <w:pPr>
        <w:ind w:firstLine="850.3937007874017"/>
        <w:contextualSpacing w:val="0"/>
        <w:rPr/>
      </w:pPr>
      <w:r w:rsidDel="00000000" w:rsidR="00000000" w:rsidRPr="00000000">
        <w:rPr>
          <w:rtl w:val="0"/>
        </w:rPr>
      </w:r>
    </w:p>
    <w:p w:rsidR="00000000" w:rsidDel="00000000" w:rsidP="00000000" w:rsidRDefault="00000000" w:rsidRPr="00000000" w14:paraId="00000028">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9">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A">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B">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C">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D">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E">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2F">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30">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31">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32">
      <w:pPr>
        <w:ind w:firstLine="850.3937007874017"/>
        <w:contextualSpacing w:val="0"/>
        <w:rPr>
          <w:b w:val="1"/>
          <w:u w:val="single"/>
        </w:rPr>
      </w:pPr>
      <w:r w:rsidDel="00000000" w:rsidR="00000000" w:rsidRPr="00000000">
        <w:rPr>
          <w:rtl w:val="0"/>
        </w:rPr>
      </w:r>
    </w:p>
    <w:p w:rsidR="00000000" w:rsidDel="00000000" w:rsidP="00000000" w:rsidRDefault="00000000" w:rsidRPr="00000000" w14:paraId="00000033">
      <w:pPr>
        <w:ind w:left="0" w:firstLine="0"/>
        <w:contextualSpacing w:val="0"/>
        <w:jc w:val="both"/>
        <w:rPr/>
      </w:pPr>
      <w:r w:rsidDel="00000000" w:rsidR="00000000" w:rsidRPr="00000000">
        <w:rPr>
          <w:rtl w:val="0"/>
        </w:rPr>
      </w:r>
    </w:p>
    <w:p w:rsidR="00000000" w:rsidDel="00000000" w:rsidP="00000000" w:rsidRDefault="00000000" w:rsidRPr="00000000" w14:paraId="00000034">
      <w:pPr>
        <w:ind w:firstLine="0"/>
        <w:contextualSpacing w:val="0"/>
        <w:jc w:val="center"/>
        <w:rPr/>
      </w:pPr>
      <w:r w:rsidDel="00000000" w:rsidR="00000000" w:rsidRPr="00000000">
        <w:rPr>
          <w:rtl w:val="0"/>
        </w:rPr>
      </w:r>
    </w:p>
    <w:p w:rsidR="00000000" w:rsidDel="00000000" w:rsidP="00000000" w:rsidRDefault="00000000" w:rsidRPr="00000000" w14:paraId="00000035">
      <w:pPr>
        <w:ind w:firstLine="0"/>
        <w:contextualSpacing w:val="0"/>
        <w:jc w:val="center"/>
        <w:rPr/>
      </w:pPr>
      <w:r w:rsidDel="00000000" w:rsidR="00000000" w:rsidRPr="00000000">
        <w:rPr/>
        <w:drawing>
          <wp:inline distB="114300" distT="114300" distL="114300" distR="114300">
            <wp:extent cx="4341463" cy="6081713"/>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341463" cy="60817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0"/>
        <w:contextualSpacing w:val="0"/>
        <w:jc w:val="center"/>
        <w:rPr/>
      </w:pPr>
      <w:r w:rsidDel="00000000" w:rsidR="00000000" w:rsidRPr="00000000">
        <w:rPr>
          <w:rtl w:val="0"/>
        </w:rPr>
      </w:r>
    </w:p>
    <w:p w:rsidR="00000000" w:rsidDel="00000000" w:rsidP="00000000" w:rsidRDefault="00000000" w:rsidRPr="00000000" w14:paraId="00000037">
      <w:pPr>
        <w:ind w:firstLine="0"/>
        <w:contextualSpacing w:val="0"/>
        <w:jc w:val="both"/>
        <w:rPr/>
      </w:pPr>
      <w:r w:rsidDel="00000000" w:rsidR="00000000" w:rsidRPr="00000000">
        <w:rPr>
          <w:b w:val="1"/>
          <w:rtl w:val="0"/>
        </w:rPr>
        <w:t xml:space="preserve">Fig 1. Retinal cell markers among new assigned groups. </w:t>
      </w:r>
      <w:r w:rsidDel="00000000" w:rsidR="00000000" w:rsidRPr="00000000">
        <w:rPr>
          <w:rtl w:val="0"/>
        </w:rPr>
        <w:t xml:space="preserve">Selected genes viewed in assigned cell groups. Percentage of cells and average scaled expression can be interpreted as dot-size and color gradient (green to red), respectively.</w:t>
      </w:r>
    </w:p>
    <w:p w:rsidR="00000000" w:rsidDel="00000000" w:rsidP="00000000" w:rsidRDefault="00000000" w:rsidRPr="00000000" w14:paraId="00000038">
      <w:pPr>
        <w:ind w:firstLine="850.3937007874017"/>
        <w:contextualSpacing w:val="0"/>
        <w:jc w:val="both"/>
        <w:rPr/>
      </w:pPr>
      <w:r w:rsidDel="00000000" w:rsidR="00000000" w:rsidRPr="00000000">
        <w:rPr>
          <w:rtl w:val="0"/>
        </w:rPr>
      </w:r>
    </w:p>
    <w:p w:rsidR="00000000" w:rsidDel="00000000" w:rsidP="00000000" w:rsidRDefault="00000000" w:rsidRPr="00000000" w14:paraId="00000039">
      <w:pPr>
        <w:ind w:firstLine="850.3937007874017"/>
        <w:contextualSpacing w:val="0"/>
        <w:rPr/>
      </w:pPr>
      <w:r w:rsidDel="00000000" w:rsidR="00000000" w:rsidRPr="00000000">
        <w:rPr>
          <w:rtl w:val="0"/>
        </w:rPr>
      </w:r>
    </w:p>
    <w:p w:rsidR="00000000" w:rsidDel="00000000" w:rsidP="00000000" w:rsidRDefault="00000000" w:rsidRPr="00000000" w14:paraId="0000003A">
      <w:pPr>
        <w:contextualSpacing w:val="0"/>
        <w:jc w:val="center"/>
        <w:rPr/>
      </w:pPr>
      <w:r w:rsidDel="00000000" w:rsidR="00000000" w:rsidRPr="00000000">
        <w:rPr>
          <w:rtl w:val="0"/>
        </w:rPr>
      </w:r>
    </w:p>
    <w:p w:rsidR="00000000" w:rsidDel="00000000" w:rsidP="00000000" w:rsidRDefault="00000000" w:rsidRPr="00000000" w14:paraId="0000003B">
      <w:pPr>
        <w:contextualSpacing w:val="0"/>
        <w:jc w:val="center"/>
        <w:rPr/>
      </w:pPr>
      <w:r w:rsidDel="00000000" w:rsidR="00000000" w:rsidRPr="00000000">
        <w:rPr/>
        <w:drawing>
          <wp:inline distB="114300" distT="114300" distL="114300" distR="114300">
            <wp:extent cx="4112759" cy="5757863"/>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112759" cy="57578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pPr>
      <w:r w:rsidDel="00000000" w:rsidR="00000000" w:rsidRPr="00000000">
        <w:rPr>
          <w:rtl w:val="0"/>
        </w:rPr>
      </w:r>
    </w:p>
    <w:p w:rsidR="00000000" w:rsidDel="00000000" w:rsidP="00000000" w:rsidRDefault="00000000" w:rsidRPr="00000000" w14:paraId="0000003D">
      <w:pPr>
        <w:ind w:firstLine="0"/>
        <w:contextualSpacing w:val="0"/>
        <w:jc w:val="both"/>
        <w:rPr/>
      </w:pPr>
      <w:r w:rsidDel="00000000" w:rsidR="00000000" w:rsidRPr="00000000">
        <w:rPr>
          <w:b w:val="1"/>
          <w:rtl w:val="0"/>
        </w:rPr>
        <w:t xml:space="preserve">Table 1. </w:t>
      </w:r>
      <w:r w:rsidDel="00000000" w:rsidR="00000000" w:rsidRPr="00000000">
        <w:rPr>
          <w:b w:val="1"/>
          <w:rtl w:val="0"/>
        </w:rPr>
        <w:t xml:space="preserve">Selection</w:t>
      </w:r>
      <w:r w:rsidDel="00000000" w:rsidR="00000000" w:rsidRPr="00000000">
        <w:rPr>
          <w:b w:val="1"/>
          <w:rtl w:val="0"/>
        </w:rPr>
        <w:t xml:space="preserve"> of differentially expressed genes in new assigned groups.</w:t>
      </w:r>
      <w:r w:rsidDel="00000000" w:rsidR="00000000" w:rsidRPr="00000000">
        <w:rPr>
          <w:rtl w:val="0"/>
        </w:rPr>
        <w:t xml:space="preserve"> Table shows in which clusters selected genes are differentially expressed. </w:t>
      </w:r>
      <w:r w:rsidDel="00000000" w:rsidR="00000000" w:rsidRPr="00000000">
        <w:rPr>
          <w:rtl w:val="0"/>
        </w:rPr>
        <w:t xml:space="preserve">A p-adjusted value (p_val_adj) &lt; 0.05 and average 10-log fold-change (avg_logFC) &gt; 0.3 were used.</w:t>
      </w:r>
    </w:p>
    <w:p w:rsidR="00000000" w:rsidDel="00000000" w:rsidP="00000000" w:rsidRDefault="00000000" w:rsidRPr="00000000" w14:paraId="0000003E">
      <w:pPr>
        <w:ind w:firstLine="850.3937007874017"/>
        <w:contextualSpacing w:val="0"/>
        <w:jc w:val="both"/>
        <w:rPr/>
      </w:pPr>
      <w:r w:rsidDel="00000000" w:rsidR="00000000" w:rsidRPr="00000000">
        <w:rPr>
          <w:rtl w:val="0"/>
        </w:rPr>
      </w:r>
    </w:p>
    <w:p w:rsidR="00000000" w:rsidDel="00000000" w:rsidP="00000000" w:rsidRDefault="00000000" w:rsidRPr="00000000" w14:paraId="0000003F">
      <w:pPr>
        <w:ind w:firstLine="850.3937007874017"/>
        <w:contextualSpacing w:val="0"/>
        <w:rPr/>
      </w:pPr>
      <w:r w:rsidDel="00000000" w:rsidR="00000000" w:rsidRPr="00000000">
        <w:rPr>
          <w:rtl w:val="0"/>
        </w:rPr>
      </w:r>
    </w:p>
    <w:p w:rsidR="00000000" w:rsidDel="00000000" w:rsidP="00000000" w:rsidRDefault="00000000" w:rsidRPr="00000000" w14:paraId="00000040">
      <w:pPr>
        <w:contextualSpacing w:val="0"/>
        <w:jc w:val="center"/>
        <w:rPr/>
      </w:pPr>
      <w:r w:rsidDel="00000000" w:rsidR="00000000" w:rsidRPr="00000000">
        <w:rPr>
          <w:rtl w:val="0"/>
        </w:rPr>
      </w:r>
    </w:p>
    <w:p w:rsidR="00000000" w:rsidDel="00000000" w:rsidP="00000000" w:rsidRDefault="00000000" w:rsidRPr="00000000" w14:paraId="00000041">
      <w:pPr>
        <w:contextualSpacing w:val="0"/>
        <w:jc w:val="center"/>
        <w:rPr/>
      </w:pPr>
      <w:r w:rsidDel="00000000" w:rsidR="00000000" w:rsidRPr="00000000">
        <w:rPr>
          <w:rtl w:val="0"/>
        </w:rPr>
      </w:r>
    </w:p>
    <w:p w:rsidR="00000000" w:rsidDel="00000000" w:rsidP="00000000" w:rsidRDefault="00000000" w:rsidRPr="00000000" w14:paraId="00000042">
      <w:pPr>
        <w:ind w:firstLine="850.3937007874017"/>
        <w:contextualSpacing w:val="0"/>
        <w:jc w:val="both"/>
        <w:rPr/>
      </w:pPr>
      <w:r w:rsidDel="00000000" w:rsidR="00000000" w:rsidRPr="00000000">
        <w:rPr>
          <w:rtl w:val="0"/>
        </w:rPr>
      </w:r>
    </w:p>
    <w:p w:rsidR="00000000" w:rsidDel="00000000" w:rsidP="00000000" w:rsidRDefault="00000000" w:rsidRPr="00000000" w14:paraId="00000043">
      <w:pPr>
        <w:ind w:firstLine="850.3937007874017"/>
        <w:contextualSpacing w:val="0"/>
        <w:jc w:val="both"/>
        <w:rPr/>
      </w:pPr>
      <w:r w:rsidDel="00000000" w:rsidR="00000000" w:rsidRPr="00000000">
        <w:rPr>
          <w:rtl w:val="0"/>
        </w:rPr>
      </w:r>
    </w:p>
    <w:p w:rsidR="00000000" w:rsidDel="00000000" w:rsidP="00000000" w:rsidRDefault="00000000" w:rsidRPr="00000000" w14:paraId="00000044">
      <w:pPr>
        <w:ind w:firstLine="850.3937007874017"/>
        <w:contextualSpacing w:val="0"/>
        <w:jc w:val="both"/>
        <w:rPr/>
      </w:pPr>
      <w:r w:rsidDel="00000000" w:rsidR="00000000" w:rsidRPr="00000000">
        <w:rPr>
          <w:rtl w:val="0"/>
        </w:rPr>
      </w:r>
    </w:p>
    <w:p w:rsidR="00000000" w:rsidDel="00000000" w:rsidP="00000000" w:rsidRDefault="00000000" w:rsidRPr="00000000" w14:paraId="00000045">
      <w:pPr>
        <w:contextualSpacing w:val="0"/>
        <w:jc w:val="center"/>
        <w:rPr/>
      </w:pPr>
      <w:r w:rsidDel="00000000" w:rsidR="00000000" w:rsidRPr="00000000">
        <w:rPr>
          <w:rtl w:val="0"/>
        </w:rPr>
      </w:r>
    </w:p>
    <w:p w:rsidR="00000000" w:rsidDel="00000000" w:rsidP="00000000" w:rsidRDefault="00000000" w:rsidRPr="00000000" w14:paraId="00000046">
      <w:pPr>
        <w:contextualSpacing w:val="0"/>
        <w:jc w:val="center"/>
        <w:rPr/>
      </w:pPr>
      <w:r w:rsidDel="00000000" w:rsidR="00000000" w:rsidRPr="00000000">
        <w:rPr/>
        <w:drawing>
          <wp:inline distB="114300" distT="114300" distL="114300" distR="114300">
            <wp:extent cx="5734050" cy="5118100"/>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405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0"/>
        <w:contextualSpacing w:val="0"/>
        <w:jc w:val="both"/>
        <w:rPr/>
      </w:pPr>
      <w:r w:rsidDel="00000000" w:rsidR="00000000" w:rsidRPr="00000000">
        <w:rPr>
          <w:b w:val="1"/>
          <w:rtl w:val="0"/>
        </w:rPr>
        <w:t xml:space="preserve">Supplementary Fig. 1 - Old and new clusters and assigned clusters in tSNE plot view.</w:t>
      </w:r>
      <w:r w:rsidDel="00000000" w:rsidR="00000000" w:rsidRPr="00000000">
        <w:rPr>
          <w:rtl w:val="0"/>
        </w:rPr>
        <w:t xml:space="preserve"> Previously it was found 39 clusters and 12 assigned groups (bottom). Now it has 39 clusters and 7 assigned groups (vascular endothelium, fibroblasts and pericytes were not included).</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