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rial" w:hAnsi="Arial"/>
          <w:b/>
          <w:color w:val="8B1028"/>
          <w:sz w:val="64"/>
        </w:rPr>
        <w:t>IMPULSATE</w:t>
      </w:r>
    </w:p>
    <w:p>
      <w:pPr>
        <w:jc w:val="center"/>
      </w:pPr>
      <w:r>
        <w:rPr>
          <w:rFonts w:ascii="Arial" w:hAnsi="Arial"/>
          <w:color w:val="606060"/>
          <w:sz w:val="24"/>
        </w:rPr>
        <w:t>Plataforma de Vinculacion Comercial B2B</w:t>
      </w:r>
    </w:p>
    <w:p>
      <w:pPr>
        <w:jc w:val="center"/>
      </w:pPr>
      <w:r>
        <w:rPr>
          <w:rFonts w:ascii="Arial" w:hAnsi="Arial"/>
          <w:b/>
          <w:color w:val="8B1028"/>
          <w:sz w:val="20"/>
        </w:rPr>
        <w:t>impulsate.iyemyucatan.com</w:t>
      </w:r>
    </w:p>
    <w:p>
      <w:pPr>
        <w:spacing w:before="120" w:after="120"/>
        <w:pBdr>
          <w:bottom w:val="single" w:sz="12" w:space="1" w:color="8B1028"/>
        </w:pBdr>
      </w:pPr>
    </w:p>
    <w:p>
      <w:pPr>
        <w:jc w:val="center"/>
      </w:pPr>
      <w:r>
        <w:rPr>
          <w:rFonts w:ascii="Arial" w:hAnsi="Arial"/>
          <w:b/>
          <w:color w:val="1A1A1A"/>
          <w:sz w:val="36"/>
        </w:rPr>
        <w:t>COTIZACION DE DESARROLLO</w:t>
      </w:r>
    </w:p>
    <w:p>
      <w:pPr>
        <w:jc w:val="center"/>
      </w:pPr>
      <w:r>
        <w:rPr>
          <w:rFonts w:ascii="Arial" w:hAnsi="Arial"/>
          <w:color w:val="606060"/>
          <w:sz w:val="22"/>
        </w:rPr>
        <w:t>No. COT-IMPULSATE-2026-001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Fecha de Emision: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Julio 2, 2026</w:t>
            </w:r>
          </w:p>
        </w:tc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Validez: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30 dias</w:t>
            </w:r>
          </w:p>
        </w:tc>
      </w:tr>
      <w:tr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Preparado por: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Equipo de Desarrollo IMPULSATE</w:t>
            </w:r>
          </w:p>
        </w:tc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Moneda: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MXN (Pesos Mexicanos)</w:t>
            </w:r>
          </w:p>
        </w:tc>
      </w:tr>
      <w:tr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Preparado para: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Instituto Yucateco del Emprendedor y las MyPEs (IYEM)</w:t>
            </w:r>
          </w:p>
        </w:tc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RFC: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IYE-XXXXXX-XXX</w:t>
            </w:r>
          </w:p>
        </w:tc>
      </w:tr>
      <w:tr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Proyecto: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Plataforma IMPULSATE v1.0</w:t>
            </w:r>
          </w:p>
        </w:tc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Modalidad: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Desarrollo a la medida</w:t>
            </w:r>
          </w:p>
        </w:tc>
      </w:tr>
      <w:tr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Contacto: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diegomtr8@gmail.com</w:t>
            </w:r>
          </w:p>
        </w:tc>
        <w:tc>
          <w:tcPr>
            <w:tcW w:type="dxa" w:w="2340"/>
            <w:shd w:val="clear" w:color="auto" w:fill="F5E6E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color w:val="8B1028"/>
                <w:sz w:val="19"/>
              </w:rPr>
              <w:t>Tel.: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 w:val="0"/>
                <w:sz w:val="19"/>
              </w:rPr>
              <w:t>Por definir</w:t>
            </w:r>
          </w:p>
        </w:tc>
      </w:tr>
    </w:tbl>
    <w:p/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I. Descripcion del Proyecto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1A1A1A"/>
          <w:sz w:val="21"/>
        </w:rPr>
        <w:t>IMPULSATE es una plataforma digital B2B desarrollada a la medida para el Instituto Yucateco del Emprendedor y las MyPEs (IYEM), orientada a la vinculacion comercial entre proveedores de alimentos y bebidas con compradores del sector HoReCa (Hoteles, Restaurantes y Cafeterias) y tiendas de autoservicio en Yucatan.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1A1A1A"/>
          <w:sz w:val="21"/>
        </w:rPr>
        <w:t>La plataforma integra el ciclo completo de una Rueda de Negocios digital: registro y validacion de proveedores, gestion del evento, agendamiento de citas en tiempo real, comunicacion automatizada y metricas de impacto, todo bajo una sola interfaz web.</w:t>
      </w:r>
    </w:p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II. Desglose de Servicios y Costo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Modulo / Servicio</w:t>
            </w:r>
          </w:p>
        </w:tc>
        <w:tc>
          <w:tcPr>
            <w:tcW w:type="dxa" w:w="1872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Descripcion</w:t>
            </w:r>
          </w:p>
        </w:tc>
        <w:tc>
          <w:tcPr>
            <w:tcW w:type="dxa" w:w="1872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Hrs Est.</w:t>
            </w:r>
          </w:p>
        </w:tc>
        <w:tc>
          <w:tcPr>
            <w:tcW w:type="dxa" w:w="1872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 MXN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Arquitectura y Setup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Configuracion de entorno Laravel 11 + Vue 3 + Inertia.js, DB MySQL, deploy inicial, SMTP, roles Spatie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$18,000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Autenticacion y Roles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Registro, login, recuperacion de contrasena, roles (super-admin/admin/restaurantero/cliente), dual rol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$13,500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Modulo de Proveedores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Perfil completo con 15+ campos, logo, hasta 5 productos con foto y capacidad, categorias, credito, logistica, calculo de perfil completo automatico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$27,000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Aprobacion de Proveedores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Panel admin con aprobacion individual y masiva, correo automatico de aprobacion/rechazo, re-solicitud tras rechazo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$13,500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Gestion de Eventos (Ruedas)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CRUD de eventos, un evento activo, configuracion de horarios, dias, intervalo y maximo de citas por comprador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$15,750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Solicitudes de Registro al Evento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Flujo proveedor/comprador: solicitud, aprobacion/rechazo con motivo, eliminacion con aviso de citas, correos automaticos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$18,000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Agendamiento de Citas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Calendario interactivo en tiempo real, slots dinamicos por horario del evento, bloqueo de solapamiento, limite por comprador, cancelacion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$22,500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Directorio Publico de Proveedores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Listado paginado, busqueda, filtro por categoria, registro de visitas por dispositivo (desktop/tablet/mobile)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$11,250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Panel del Proveedor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Dashboard con estado del perfil, agenda del dia, estadisticas de visitas y citas, notificaciones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$13,500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Panel del Comprador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Dashboard con citas agendadas, historial, acceso al directorio del evento activo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$9,000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Panel de Administrador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Dashboard con metricas, gestion de proveedores, solicitudes, citas, encuestas, exportacion Excel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$22,500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Modulo Super Admin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Gestion de usuarios, plantillas de correo (CRUD + editor HTML + vista previa), correo masivo segmentado, categorias CRUD, publicidad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$22,500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Sistema de Correo Electronico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12 plantillas transaccionales HTML, envio asincrono (ShouldQueue), reemplazo de placeholders dinamicos, prueba de envio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$13,500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Sistema de Notificaciones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Notificaciones internas en tiempo real: aprobacion, citas, cancelaciones; badge con conteo de no leidas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$9,000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Torre de Control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Pantalla publica de seguimiento de asistencia y citas en tiempo real (compatible con TV/display publico)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$9,000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Exportacion Excel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Exportacion completa de proveedores con todos los campos comerciales, logisticos y metricas de citas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$6,750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Encuestas de Satisfaccion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Formulario post-evento, recopilacion de resultados, estadisticas en panel admin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$6,750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QA, Pruebas y Correcciones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Pruebas funcionales, correcciones de bugs, ajustes de UX/UI, pruebas en dispositivos moviles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$18,000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Deploy y Configuracion de Servidor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Configuracion de produccion (Apache/cPanel), variables de entorno, SSL, storage, colas, optimize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$6,750</w:t>
            </w:r>
          </w:p>
        </w:tc>
      </w:tr>
      <w:tr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b/>
                <w:sz w:val="18"/>
              </w:rPr>
              <w:t>Documentacion Tecnica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18"/>
              </w:rPr>
              <w:t>Documentacion funcional y tecnica completa del sistema, manual de administrador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72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$4,500</w:t>
            </w:r>
          </w:p>
        </w:tc>
      </w:tr>
      <w:tr>
        <w:tc>
          <w:tcPr>
            <w:tcW w:type="dxa" w:w="5616"/>
            <w:shd w:val="clear" w:color="auto" w:fill="F5E6E9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8B1028"/>
                <w:sz w:val="20"/>
              </w:rPr>
              <w:t>SUBTOTAL DESARROLLO (antes de IVA)</w:t>
            </w:r>
          </w:p>
        </w:tc>
        <w:tc>
          <w:tcPr>
            <w:tcW w:type="dxa" w:w="1872"/>
            <w:shd w:val="clear" w:color="auto" w:fill="F5E6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1250</w:t>
            </w:r>
          </w:p>
        </w:tc>
        <w:tc>
          <w:tcPr>
            <w:tcW w:type="dxa" w:w="1872"/>
            <w:shd w:val="clear" w:color="auto" w:fill="F5E6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8B1028"/>
                <w:sz w:val="20"/>
              </w:rPr>
              <w:t>$261,000</w:t>
            </w:r>
          </w:p>
        </w:tc>
      </w:tr>
      <w:tr>
        <w:tc>
          <w:tcPr>
            <w:tcW w:type="dxa" w:w="5616"/>
            <w:shd w:val="clear" w:color="auto" w:fill="F5E6E9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IVA (16%)</w:t>
            </w:r>
          </w:p>
        </w:tc>
        <w:tc>
          <w:tcPr>
            <w:tcW w:type="dxa" w:w="1872"/>
            <w:shd w:val="clear" w:color="auto" w:fill="F5E6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W w:type="dxa" w:w="1872"/>
            <w:shd w:val="clear" w:color="auto" w:fill="F5E6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$39,000*</w:t>
            </w:r>
          </w:p>
        </w:tc>
      </w:tr>
    </w:tbl>
    <w:p/>
    <w:p>
      <w:pPr>
        <w:jc w:val="right"/>
      </w:pPr>
      <w:r>
        <w:rPr>
          <w:rFonts w:ascii="Arial" w:hAnsi="Arial"/>
          <w:b/>
          <w:color w:val="1A1A1A"/>
          <w:sz w:val="28"/>
        </w:rPr>
        <w:t xml:space="preserve">INVERSION TOTAL DEL PROYECTO:   </w:t>
      </w:r>
      <w:r>
        <w:rPr>
          <w:rFonts w:ascii="Arial" w:hAnsi="Arial"/>
          <w:b/>
          <w:color w:val="8B1028"/>
          <w:sz w:val="36"/>
        </w:rPr>
        <w:t>$300,000 MXN</w:t>
      </w:r>
    </w:p>
    <w:p>
      <w:pPr>
        <w:spacing w:before="40" w:after="80"/>
      </w:pPr>
      <w:r>
        <w:rPr>
          <w:rFonts w:ascii="Arial" w:hAnsi="Arial"/>
          <w:b w:val="0"/>
          <w:i/>
          <w:color w:val="606060"/>
          <w:sz w:val="18"/>
        </w:rPr>
        <w:t>* IVA incluido en el total. Monto final: Trescientos mil pesos 00/100 M.N.</w:t>
      </w:r>
    </w:p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III. Esquema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Pago</w:t>
            </w:r>
          </w:p>
        </w:tc>
        <w:tc>
          <w:tcPr>
            <w:tcW w:type="dxa" w:w="2340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340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Porcentaje</w:t>
            </w:r>
          </w:p>
        </w:tc>
        <w:tc>
          <w:tcPr>
            <w:tcW w:type="dxa" w:w="2340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Monto MXN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1er Pago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Anticipo — Inicio del proyecto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30%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$90,000</w:t>
            </w:r>
          </w:p>
        </w:tc>
      </w:tr>
      <w:tr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2do Pago</w:t>
            </w:r>
          </w:p>
        </w:tc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Avance 50% — Modulos de proveedores y eventos listos</w:t>
            </w:r>
          </w:p>
        </w:tc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30%</w:t>
            </w:r>
          </w:p>
        </w:tc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$90,000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3er Pago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Avance 80% — Agendamiento y paneles completados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25%</w:t>
            </w:r>
          </w:p>
        </w:tc>
        <w:tc>
          <w:tcPr>
            <w:tcW w:type="dxa" w:w="23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$75,000</w:t>
            </w:r>
          </w:p>
        </w:tc>
      </w:tr>
      <w:tr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4to Pago</w:t>
            </w:r>
          </w:p>
        </w:tc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Entrega final — Deploy en produccion y capacitacion</w:t>
            </w:r>
          </w:p>
        </w:tc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15%</w:t>
            </w:r>
          </w:p>
        </w:tc>
        <w:tc>
          <w:tcPr>
            <w:tcW w:type="dxa" w:w="234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$45,000</w:t>
            </w:r>
          </w:p>
        </w:tc>
      </w:tr>
    </w:tbl>
    <w:p/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IV. Alcance Incluido en la Cotizacion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Desarrollo completo del sistema segun especificaciones acordadas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Diseno UI/UX responsive (desktop, tablet y movil) con identidad visual IMPULSATE (guinda)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Integracion de correo electronico transaccional (Gmail SMTP + 12 plantillas HTML)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Panel de Super Admin con configuracion de plantillas, correo masivo y categorias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Torre de Control para monitoreo en tiempo real durante el evento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Exportacion de datos en Excel con todos los campos del proveedor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Sistema de notificaciones internas en tiempo real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Documentacion tecnica y funcional del sistema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Deploy inicial en servidor de produccion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Capacitacion al equipo administrador (2 horas via videollamada)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30 dias de soporte post-entrega para correcciones de bugs</w:t>
      </w:r>
    </w:p>
    <w:p/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V. No Incluido en esta Cotizacion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Hosting y dominio (responsabilidad del cliente)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Licencias de software de terceros (si aplica)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Desarrollo de aplicacion movil nativa (iOS / Android)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Integraciones con sistemas externos (ERP, CRM, pasarelas de pago)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Soporte tecnico despues de los 30 dias de garantia (cotizar por separado)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Modificaciones al alcance acordado despues del inicio del proyecto</w:t>
      </w:r>
    </w:p>
    <w:p/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VI. Tiempo Estimado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20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3120"/>
            <w:shd w:val="clear" w:color="auto" w:fill="8B1028"/>
            <w:tcBorders>
              <w:top w:val="single" w:sz="4" w:color="8B1028"/>
              <w:left w:val="single" w:sz="4" w:color="8B1028"/>
              <w:bottom w:val="single" w:sz="4" w:color="8B1028"/>
              <w:right w:val="single" w:sz="4" w:color="8B102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Duracion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Fase 1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Setup, autenticacion, roles, perfil de proveedor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semanas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Fase 2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Eventos, solicitudes, aprobaciones, correos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semanas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Fase 3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Agendamiento de citas, calendario, directorio publico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semanas</w:t>
            </w:r>
          </w:p>
        </w:tc>
      </w:tr>
      <w:tr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Fase 4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Paneles admin y super-admin, exportaciones, notificaciones</w:t>
            </w:r>
          </w:p>
        </w:tc>
        <w:tc>
          <w:tcPr>
            <w:tcW w:type="dxa" w:w="3120"/>
            <w:shd w:val="clear" w:color="auto" w:fill="FAF0F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 semanas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Fase 5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Arial" w:hAnsi="Arial"/>
                <w:sz w:val="20"/>
              </w:rPr>
              <w:t>QA, correcciones, documentacion, deploy y capacitacion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 semanas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/>
          <w:i w:val="0"/>
          <w:color w:val="8B1028"/>
          <w:sz w:val="21"/>
        </w:rPr>
        <w:t>Duracion total estimada: 14 semanas (aproximadamente 3.5 meses) desde el anticipo inicial.</w:t>
      </w:r>
    </w:p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VII. Terminos y Condiciones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Esta cotizacion tiene una vigencia de 30 dias naturales a partir de la fecha de emision.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Los precios estan expresados en Pesos Mexicanos (MXN) e incluyen IVA.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El inicio del proyecto esta condicionado al pago del anticipo del 30%.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Cualquier modificacion al alcance original sera cotizada por separado mediante adenda.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El cliente proporcionara acceso al servidor de produccion y credenciales necesarias.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El periodo de garantia de 30 dias cubre unicamente la correccion de bugs en las funcionalidades acordadas.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El codigo fuente es propiedad del cliente una vez liquidado el total de la cotizacion.</w:t>
      </w:r>
    </w:p>
    <w:p>
      <w:pPr>
        <w:pStyle w:val="ListBullet"/>
        <w:spacing w:before="20" w:after="40"/>
      </w:pPr>
      <w:r>
        <w:rPr>
          <w:rFonts w:ascii="Arial" w:hAnsi="Arial"/>
          <w:sz w:val="20"/>
        </w:rPr>
        <w:t>Los pagos parciales deben realizarse dentro de los 5 dias habiles siguientes al hito correspondiente.</w:t>
      </w:r>
    </w:p>
    <w:p/>
    <w:p>
      <w:pPr>
        <w:spacing w:before="360" w:after="120"/>
        <w:pBdr>
          <w:bottom w:val="single" w:sz="6" w:space="4" w:color="8B1028"/>
        </w:pBdr>
      </w:pPr>
      <w:r>
        <w:rPr>
          <w:rFonts w:ascii="Arial" w:hAnsi="Arial"/>
          <w:b/>
          <w:color w:val="8B1028"/>
          <w:sz w:val="26"/>
        </w:rPr>
        <w:t>VIII. Aceptacion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1A1A1A"/>
          <w:sz w:val="21"/>
        </w:rPr>
        <w:t>Al firmar el presente documento, el cliente acepta los terminos, el alcance y el costo total de la cotizacion descrita anteriormente.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5E6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Firma del Cliente</w:t>
            </w:r>
          </w:p>
        </w:tc>
        <w:tc>
          <w:tcPr>
            <w:tcW w:type="dxa" w:w="4680"/>
            <w:shd w:val="clear" w:color="auto" w:fill="F5E6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B1028"/>
                <w:sz w:val="20"/>
              </w:rPr>
              <w:t>Firma del Proveedor de Servicios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Nombre: ___________________________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Nombre: ___________________________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Cargo: ___________ Fecha: ____________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Cargo: ___________ Fecha: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606060"/>
          <w:sz w:val="17"/>
        </w:rPr>
        <w:t>IMPULSATE - IYEM Yucatan  |  impulsate.iyemyucatan.com  |  COT-IMPULSATE-2026-001  |  Confidencial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