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Visualización de la Información  |  TP 2  |  Diego Dell’Era  |  2020-06-18</w:t>
      </w:r>
    </w:p>
    <w:p>
      <w:pPr>
        <w:pStyle w:val="HorizontalLine"/>
        <w:rPr/>
      </w:pPr>
      <w:r>
        <w:rPr/>
      </w:r>
    </w:p>
    <w:p>
      <w:pPr>
        <w:pStyle w:val="TextBody"/>
        <w:jc w:val="left"/>
        <w:rPr/>
      </w:pPr>
      <w:r>
        <w:rPr/>
        <w:t>1. Dar 2 ejemplos de gráficos en los medios que no respet</w:t>
      </w:r>
      <w:r>
        <w:rPr/>
        <w:t>e</w:t>
      </w:r>
      <w:r>
        <w:rPr/>
        <w:t>n los principios de Tufte</w:t>
      </w:r>
    </w:p>
    <w:p>
      <w:pPr>
        <w:pStyle w:val="TextBody"/>
        <w:jc w:val="left"/>
        <w:rPr/>
      </w:pPr>
      <w:r>
        <w:rPr/>
        <w:t>Primer caso:</w:t>
      </w:r>
    </w:p>
    <w:p>
      <w:pPr>
        <w:pStyle w:val="TextBody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4865" cy="50520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right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Infografía de</w:t>
      </w:r>
      <w:r>
        <w:rPr>
          <w:i/>
          <w:iCs/>
          <w:sz w:val="20"/>
          <w:szCs w:val="20"/>
        </w:rPr>
        <w:t xml:space="preserve"> Clarín, </w:t>
      </w:r>
      <w:r>
        <w:rPr>
          <w:i w:val="false"/>
          <w:iCs w:val="false"/>
          <w:sz w:val="20"/>
          <w:szCs w:val="20"/>
        </w:rPr>
        <w:t>2016</w:t>
      </w:r>
    </w:p>
    <w:p>
      <w:pPr>
        <w:pStyle w:val="TextBody"/>
        <w:jc w:val="righ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i/>
          <w:iCs/>
        </w:rPr>
        <w:t>Debemos visualizar la variación en los datos, no el diseño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/>
        <w:t>La leyenda tiene 4 colores para 4 posturas, y la diferencia entre años se aplica en la intensidad del color, pero al mismo tiempo 2 de los colores elegidos son el mismo color con distinta intensidad. Como consecuencia,  dos secciones con posturas distintas se confunden porque tienen colores muy similares: “En ciertos casos (2010)” y “En cualquier caso (2016)”.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i/>
          <w:iCs/>
        </w:rPr>
        <w:t>Un gráfico está distorsionado si la representación visual que presenta no se condice con la representación numérica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/>
        <w:t xml:space="preserve">Los </w:t>
      </w:r>
      <w:r>
        <w:rPr/>
        <w:t xml:space="preserve">porcentajes </w:t>
      </w:r>
      <w:r>
        <w:rPr/>
        <w:t xml:space="preserve">de cada opinión están </w:t>
      </w:r>
      <w:r>
        <w:rPr/>
        <w:t>medidos por e</w:t>
      </w:r>
      <w:r>
        <w:rPr/>
        <w:t>l eje central, pero el diseño busca reproducir el ámbito de los legislado</w:t>
      </w:r>
      <w:r>
        <w:rPr/>
        <w:t>res</w:t>
      </w:r>
      <w:r>
        <w:rPr/>
        <w:t xml:space="preserve"> y nos lleva a prestarle atención al volumen. Eso hace que sea más difícil comparar cada sección (entre años y/o dentro del mismo año). Por ejemplo, “En cualquier caso (2010)” es casi igual en </w:t>
      </w:r>
      <w:r>
        <w:rPr/>
        <w:t>porcentaje</w:t>
      </w:r>
      <w:r>
        <w:rPr/>
        <w:t xml:space="preserve"> a “En ningún caso (2016)”, pero los volúmenes de </w:t>
      </w:r>
      <w:r>
        <w:rPr/>
        <w:t xml:space="preserve">ambas </w:t>
      </w:r>
      <w:r>
        <w:rPr/>
        <w:t>secciones son muy distintos.</w:t>
      </w:r>
    </w:p>
    <w:p>
      <w:pPr>
        <w:pStyle w:val="TextBody"/>
        <w:jc w:val="both"/>
        <w:rPr/>
      </w:pPr>
      <w:r>
        <w:rPr/>
        <w:t>Segundo caso:</w:t>
      </w:r>
    </w:p>
    <w:p>
      <w:pPr>
        <w:pStyle w:val="TextBody"/>
        <w:jc w:val="right"/>
        <w:rPr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22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22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0"/>
          <w:szCs w:val="20"/>
        </w:rPr>
        <w:t xml:space="preserve">Infografía de </w:t>
      </w:r>
      <w:r>
        <w:rPr>
          <w:i/>
          <w:iCs/>
          <w:sz w:val="20"/>
          <w:szCs w:val="20"/>
        </w:rPr>
        <w:t xml:space="preserve">Philippine Situtationer, </w:t>
      </w:r>
      <w:r>
        <w:rPr>
          <w:i w:val="false"/>
          <w:iCs w:val="false"/>
          <w:sz w:val="20"/>
          <w:szCs w:val="20"/>
        </w:rPr>
        <w:t>2020</w:t>
      </w:r>
    </w:p>
    <w:p>
      <w:pPr>
        <w:pStyle w:val="TextBody"/>
        <w:jc w:val="right"/>
        <w:rPr>
          <w:i w:val="false"/>
          <w:i w:val="false"/>
          <w:iCs w:val="false"/>
        </w:rPr>
      </w:pPr>
      <w:r>
        <w:rPr>
          <w:i/>
          <w:iCs/>
          <w:sz w:val="24"/>
          <w:szCs w:val="24"/>
        </w:rPr>
      </w:r>
    </w:p>
    <w:p>
      <w:pPr>
        <w:pStyle w:val="TextBody"/>
        <w:numPr>
          <w:ilvl w:val="0"/>
          <w:numId w:val="1"/>
        </w:numP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 gráfico está distorsionado si la representación visual que presenta no se condice con la representación numérica</w:t>
      </w:r>
    </w:p>
    <w:p>
      <w:pPr>
        <w:pStyle w:val="TextBody"/>
        <w:numPr>
          <w:ilvl w:val="1"/>
          <w:numId w:val="1"/>
        </w:numPr>
        <w:jc w:val="both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El eje X (“casos confirmados”) no </w:t>
      </w:r>
      <w:r>
        <w:rPr>
          <w:i w:val="false"/>
          <w:iCs w:val="false"/>
          <w:sz w:val="24"/>
          <w:szCs w:val="24"/>
        </w:rPr>
        <w:t xml:space="preserve">concuerda con </w:t>
      </w:r>
      <w:r>
        <w:rPr>
          <w:i w:val="false"/>
          <w:iCs w:val="false"/>
          <w:sz w:val="24"/>
          <w:szCs w:val="24"/>
        </w:rPr>
        <w:t>la escala de l</w:t>
      </w:r>
      <w:r>
        <w:rPr>
          <w:i w:val="false"/>
          <w:iCs w:val="false"/>
          <w:sz w:val="24"/>
          <w:szCs w:val="24"/>
        </w:rPr>
        <w:t>a</w:t>
      </w:r>
      <w:r>
        <w:rPr>
          <w:i w:val="false"/>
          <w:iCs w:val="false"/>
          <w:sz w:val="24"/>
          <w:szCs w:val="24"/>
        </w:rPr>
        <w:t>s secciones coloreadas.</w:t>
      </w:r>
    </w:p>
    <w:p>
      <w:pPr>
        <w:pStyle w:val="TextBody"/>
        <w:numPr>
          <w:ilvl w:val="1"/>
          <w:numId w:val="1"/>
        </w:numPr>
        <w:jc w:val="both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Ninguna de las secciones coloreadas conserva la misma proporción </w:t>
      </w:r>
      <w:r>
        <w:rPr>
          <w:i w:val="false"/>
          <w:iCs w:val="false"/>
          <w:sz w:val="24"/>
          <w:szCs w:val="24"/>
        </w:rPr>
        <w:t xml:space="preserve">con las demás </w:t>
      </w:r>
      <w:r>
        <w:rPr>
          <w:i w:val="false"/>
          <w:iCs w:val="false"/>
          <w:sz w:val="24"/>
          <w:szCs w:val="24"/>
        </w:rPr>
        <w:t>(!). Por ejemplo, para la diferencia entre los grupos 20-39</w:t>
      </w:r>
      <w:r>
        <w:rPr>
          <w:i/>
          <w:iCs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y 40-59 </w:t>
      </w:r>
      <w:r>
        <w:rPr>
          <w:i w:val="false"/>
          <w:iCs w:val="false"/>
          <w:sz w:val="24"/>
          <w:szCs w:val="24"/>
        </w:rPr>
        <w:t>de casos masculinos</w:t>
      </w:r>
      <w:r>
        <w:rPr>
          <w:i w:val="false"/>
          <w:iCs w:val="false"/>
          <w:sz w:val="24"/>
          <w:szCs w:val="24"/>
        </w:rPr>
        <w:t>:</w:t>
      </w:r>
    </w:p>
    <w:p>
      <w:pPr>
        <w:pStyle w:val="TextBody"/>
        <w:numPr>
          <w:ilvl w:val="0"/>
          <w:numId w:val="0"/>
        </w:numPr>
        <w:ind w:left="1080" w:hanging="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Factor de mentira</w:t>
      </w:r>
      <w:r>
        <w:rPr>
          <w:i w:val="false"/>
          <w:iCs w:val="false"/>
          <w:sz w:val="24"/>
          <w:szCs w:val="24"/>
        </w:rPr>
        <w:t xml:space="preserve">  = </w:t>
      </w:r>
      <w:r>
        <w:rPr>
          <w:i w:val="false"/>
          <w:iCs w:val="false"/>
          <w:sz w:val="24"/>
          <w:szCs w:val="24"/>
          <w:u w:val="single"/>
        </w:rPr>
        <w:t>proporción en gráfico</w:t>
      </w:r>
      <w:r>
        <w:rPr>
          <w:i w:val="false"/>
          <w:iCs w:val="false"/>
          <w:sz w:val="24"/>
          <w:szCs w:val="24"/>
          <w:u w:val="none"/>
        </w:rPr>
        <w:t xml:space="preserve"> = </w:t>
      </w:r>
      <w:r>
        <w:rPr>
          <w:i w:val="false"/>
          <w:iCs w:val="false"/>
          <w:sz w:val="24"/>
          <w:szCs w:val="24"/>
          <w:u w:val="single"/>
        </w:rPr>
        <w:t xml:space="preserve">    (8.4 – 7.5) / 7.5     </w:t>
      </w:r>
      <w:r>
        <w:rPr>
          <w:i w:val="false"/>
          <w:iCs w:val="false"/>
          <w:sz w:val="24"/>
          <w:szCs w:val="24"/>
          <w:u w:val="none"/>
        </w:rPr>
        <w:t xml:space="preserve"> = </w:t>
      </w:r>
      <w:r>
        <w:rPr>
          <w:i w:val="false"/>
          <w:iCs w:val="false"/>
          <w:sz w:val="24"/>
          <w:szCs w:val="24"/>
          <w:u w:val="single"/>
        </w:rPr>
        <w:t xml:space="preserve"> </w:t>
      </w:r>
      <w:r>
        <w:rPr>
          <w:i w:val="false"/>
          <w:iCs w:val="false"/>
          <w:sz w:val="24"/>
          <w:szCs w:val="24"/>
          <w:u w:val="single"/>
        </w:rPr>
        <w:t>+</w:t>
      </w:r>
      <w:r>
        <w:rPr>
          <w:i w:val="false"/>
          <w:iCs w:val="false"/>
          <w:sz w:val="24"/>
          <w:szCs w:val="24"/>
          <w:u w:val="single"/>
        </w:rPr>
        <w:t>12 %</w:t>
      </w:r>
      <w:r>
        <w:rPr>
          <w:i w:val="false"/>
          <w:iCs w:val="false"/>
          <w:sz w:val="24"/>
          <w:szCs w:val="24"/>
          <w:u w:val="none"/>
        </w:rPr>
        <w:t xml:space="preserve">  = </w:t>
      </w:r>
      <w:r>
        <w:rPr>
          <w:b/>
          <w:bCs/>
          <w:i w:val="false"/>
          <w:iCs w:val="false"/>
          <w:sz w:val="24"/>
          <w:szCs w:val="24"/>
          <w:u w:val="none"/>
        </w:rPr>
        <w:t>0.53</w:t>
      </w:r>
    </w:p>
    <w:p>
      <w:pPr>
        <w:pStyle w:val="TextBody"/>
        <w:numPr>
          <w:ilvl w:val="0"/>
          <w:numId w:val="0"/>
        </w:numPr>
        <w:ind w:left="1080" w:hanging="0"/>
        <w:jc w:val="both"/>
        <w:rPr>
          <w:i/>
          <w:i/>
          <w:iCs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 xml:space="preserve">                                    </w:t>
      </w:r>
      <w:r>
        <w:rPr>
          <w:i w:val="false"/>
          <w:iCs w:val="false"/>
          <w:sz w:val="24"/>
          <w:szCs w:val="24"/>
          <w:u w:val="none"/>
        </w:rPr>
        <w:t xml:space="preserve">proporción en datos     (5812 - 4740) / 4740) = </w:t>
      </w:r>
      <w:r>
        <w:rPr>
          <w:i w:val="false"/>
          <w:iCs w:val="false"/>
          <w:sz w:val="24"/>
          <w:szCs w:val="24"/>
          <w:u w:val="none"/>
        </w:rPr>
        <w:t>+</w:t>
      </w:r>
      <w:r>
        <w:rPr>
          <w:i w:val="false"/>
          <w:iCs w:val="false"/>
          <w:sz w:val="24"/>
          <w:szCs w:val="24"/>
          <w:u w:val="none"/>
        </w:rPr>
        <w:t>22.6%</w:t>
      </w:r>
    </w:p>
    <w:p>
      <w:pPr>
        <w:pStyle w:val="TextBody"/>
        <w:numPr>
          <w:ilvl w:val="0"/>
          <w:numId w:val="0"/>
        </w:numPr>
        <w:ind w:left="1080" w:hanging="0"/>
        <w:jc w:val="both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0.53 &lt; 1    =&gt; el gráfico subestima la diferencia entre los grupos. </w:t>
      </w:r>
    </w:p>
    <w:p>
      <w:pPr>
        <w:pStyle w:val="TextBody"/>
        <w:jc w:val="both"/>
        <w:rPr>
          <w:i w:val="false"/>
          <w:i w:val="false"/>
          <w:iCs w:val="false"/>
        </w:rPr>
      </w:pPr>
      <w:r>
        <w:rPr>
          <w:i/>
          <w:iCs/>
          <w:sz w:val="24"/>
          <w:szCs w:val="24"/>
        </w:rPr>
      </w:r>
    </w:p>
    <w:p>
      <w:pPr>
        <w:pStyle w:val="TextBody"/>
        <w:jc w:val="both"/>
        <w:rPr>
          <w:i w:val="false"/>
          <w:i w:val="false"/>
          <w:iCs w:val="false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TextBody"/>
        <w:jc w:val="both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</w:rPr>
        <w:t>2. Crear la Peor Visualización del Mundo</w:t>
      </w:r>
    </w:p>
    <w:p>
      <w:pPr>
        <w:pStyle w:val="TextBody"/>
        <w:jc w:val="both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</w:rPr>
        <w:t>El siguiente gráfico pretende comparar 2 series: el precio mayorista promedio de la leche cruda en Argentina entre 2015 y 2016, y la tasa de natalidad del país (i.e. número de nacimientos por cada mil habitantes) en el mismo período.</w:t>
      </w:r>
    </w:p>
    <w:p>
      <w:pPr>
        <w:pStyle w:val="TextBody"/>
        <w:jc w:val="both"/>
        <w:rPr>
          <w:i w:val="false"/>
          <w:i w:val="false"/>
          <w:iCs w:val="false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4360" cy="68554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/>
          <w:iCs/>
          <w:sz w:val="24"/>
          <w:szCs w:val="24"/>
        </w:rPr>
        <w:t>Debemos visualizar la variación en los datos, no en el diseño</w:t>
      </w:r>
    </w:p>
    <w:p>
      <w:pPr>
        <w:pStyle w:val="TextBody"/>
        <w:numPr>
          <w:ilvl w:val="1"/>
          <w:numId w:val="2"/>
        </w:numPr>
        <w:jc w:val="both"/>
        <w:rPr/>
      </w:pPr>
      <w:r>
        <w:rPr>
          <w:i w:val="false"/>
          <w:iCs w:val="false"/>
          <w:sz w:val="24"/>
          <w:szCs w:val="24"/>
        </w:rPr>
        <w:t xml:space="preserve">Fondo llamativo (verde </w:t>
      </w:r>
      <w:r>
        <w:rPr>
          <w:i/>
          <w:iCs/>
          <w:sz w:val="24"/>
          <w:szCs w:val="24"/>
        </w:rPr>
        <w:t>chartreuse</w:t>
      </w:r>
      <w:r>
        <w:rPr>
          <w:i w:val="false"/>
          <w:iCs w:val="false"/>
          <w:sz w:val="24"/>
          <w:szCs w:val="24"/>
        </w:rPr>
        <w:t>) vs línea de precios demasiado delgada.</w:t>
      </w:r>
    </w:p>
    <w:p>
      <w:pPr>
        <w:pStyle w:val="TextBody"/>
        <w:numPr>
          <w:ilvl w:val="1"/>
          <w:numId w:val="2"/>
        </w:numPr>
        <w:jc w:val="both"/>
        <w:rPr/>
      </w:pPr>
      <w:r>
        <w:rPr>
          <w:i w:val="false"/>
          <w:iCs w:val="false"/>
          <w:sz w:val="24"/>
          <w:szCs w:val="24"/>
        </w:rPr>
        <w:t>Gradientes inútiles en el título y la leyenda de los ejes.</w:t>
      </w:r>
    </w:p>
    <w:p>
      <w:pPr>
        <w:pStyle w:val="TextBody"/>
        <w:numPr>
          <w:ilvl w:val="1"/>
          <w:numId w:val="2"/>
        </w:numPr>
        <w:jc w:val="both"/>
        <w:rPr/>
      </w:pPr>
      <w:r>
        <w:rPr>
          <w:i w:val="false"/>
          <w:iCs w:val="false"/>
          <w:sz w:val="24"/>
          <w:szCs w:val="24"/>
        </w:rPr>
        <w:t>El uso de figuras de bebés para representar tasa de natalidad confunde, porque introduce el volumen del bebé (que no representa nada).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i/>
          <w:iCs/>
          <w:sz w:val="24"/>
          <w:szCs w:val="24"/>
        </w:rPr>
        <w:t>En las series de tiempo monetarias, casi siempre es mejor usar unidades estandarizadas en lugar de nominales</w:t>
      </w:r>
    </w:p>
    <w:p>
      <w:pPr>
        <w:pStyle w:val="Normal"/>
        <w:numPr>
          <w:ilvl w:val="0"/>
          <w:numId w:val="0"/>
        </w:numPr>
        <w:bidi w:val="0"/>
        <w:spacing w:before="227" w:after="0"/>
        <w:ind w:left="720" w:hanging="0"/>
        <w:jc w:val="both"/>
        <w:rPr/>
      </w:pPr>
      <w:r>
        <w:rPr>
          <w:i w:val="false"/>
          <w:iCs w:val="false"/>
          <w:sz w:val="24"/>
          <w:szCs w:val="24"/>
        </w:rPr>
        <w:t>No se aclara si los precios de la leche están en valores nominales o estandarizados.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/>
          <w:iCs/>
          <w:sz w:val="24"/>
          <w:szCs w:val="24"/>
        </w:rPr>
      </w:r>
    </w:p>
    <w:p>
      <w:pPr>
        <w:pStyle w:val="TextBody"/>
        <w:numPr>
          <w:ilvl w:val="0"/>
          <w:numId w:val="3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</w:rPr>
        <w:t>La dimensión de los datos no puede ser superada por la dimensión del gráfico</w:t>
      </w:r>
    </w:p>
    <w:p>
      <w:pPr>
        <w:pStyle w:val="TextBody"/>
        <w:numPr>
          <w:ilvl w:val="0"/>
          <w:numId w:val="0"/>
        </w:numPr>
        <w:ind w:left="72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El período escogido (2015-2016) no es particularmente representativo de ninguna de las 2 series: ni en los nacimientos (donde la caída es constante desde hace 40 años) ni en los precios, donde hay cambios de tendencia (en el recuadro, el período artificialmente elegido).</w:t>
      </w:r>
    </w:p>
    <w:p>
      <w:pPr>
        <w:pStyle w:val="TextBody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4970" cy="8147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8147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pict>
          <v:shape id="shape_0" ID="Shape1" stroked="t" style="position:absolute;margin-left:276.8pt;margin-top:26.05pt;width:12.45pt;height:23.05pt">
            <v:stroke color="#3465a4" weight="36360" joinstyle="round" endcap="flat"/>
            <v:fill o:detectmouseclick="t" on="false"/>
          </v:shape>
        </w:pic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i/>
          <w:iCs/>
          <w:sz w:val="24"/>
          <w:szCs w:val="24"/>
        </w:rPr>
        <w:t>Un gráfico está distorsionado si la representación visual que presenta no se condice con la representación numérica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sz w:val="24"/>
          <w:szCs w:val="24"/>
        </w:rPr>
        <w:t>Hay doble eje: a la izquierda los precios, y a la derecha la tasa de natalidad. La escala de ambas magnitudes es distinta: a pesar de que cubren el mismo espacio en el gráfico, uno va de 1 a 5, y el otro va de 17.0 a 17.5.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i/>
          <w:iCs/>
          <w:sz w:val="24"/>
          <w:szCs w:val="24"/>
        </w:rPr>
        <w:t>Los gráficos no deben sacar los datos de contexto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sz w:val="24"/>
          <w:szCs w:val="24"/>
        </w:rPr>
        <w:t>No hay apriori ninguna relación entre las dos series comparadas, y el hecho de que en este gráfico las 2 magnitudes decrezcan en el mismo período no debería llevar a pensar que hay alguna correlación.</w:t>
      </w:r>
    </w:p>
    <w:p>
      <w:pPr>
        <w:pStyle w:val="HorizontalLine"/>
        <w:numPr>
          <w:ilvl w:val="0"/>
          <w:numId w:val="0"/>
        </w:numPr>
        <w:ind w:left="720" w:hanging="0"/>
        <w:rPr/>
      </w:pPr>
      <w:r>
        <w:rPr/>
      </w:r>
      <w:r>
        <w:br w:type="page"/>
      </w:r>
    </w:p>
    <w:p>
      <w:pPr>
        <w:pStyle w:val="TextBody"/>
        <w:numPr>
          <w:ilvl w:val="0"/>
          <w:numId w:val="0"/>
        </w:numPr>
        <w:ind w:left="720" w:hanging="0"/>
        <w:jc w:val="center"/>
        <w:rPr/>
      </w:pPr>
      <w:r>
        <w:rPr/>
        <w:t>Datos</w:t>
      </w:r>
    </w:p>
    <w:p>
      <w:pPr>
        <w:pStyle w:val="TextBody"/>
        <w:numPr>
          <w:ilvl w:val="0"/>
          <w:numId w:val="3"/>
        </w:numPr>
        <w:rPr/>
      </w:pPr>
      <w:r>
        <w:rPr>
          <w:sz w:val="18"/>
          <w:szCs w:val="18"/>
        </w:rPr>
        <w:t>natalidad (</w:t>
      </w:r>
      <w:r>
        <w:fldChar w:fldCharType="begin"/>
      </w:r>
      <w:r>
        <w:instrText> HYPERLINK "https://datosmacro.expansion.com/demografia/natalidad/argentina" \l ":~:text=La tasa de natalidad en,mujer) de 2%2C26."</w:instrText>
      </w:r>
      <w:r>
        <w:fldChar w:fldCharType="separate"/>
      </w:r>
      <w:r>
        <w:rPr>
          <w:rStyle w:val="InternetLink"/>
          <w:sz w:val="18"/>
          <w:szCs w:val="18"/>
        </w:rPr>
        <w:t>https://datosmacro.expansion.com/demografia/natalidad/argentina#:~:text=La%20tasa%20de%20natalidad%20en,mujer)%20de%202%2C26</w:t>
      </w:r>
      <w:r>
        <w:fldChar w:fldCharType="end"/>
      </w:r>
      <w:r>
        <w:rPr>
          <w:sz w:val="18"/>
          <w:szCs w:val="18"/>
        </w:rPr>
        <w:t>)</w:t>
      </w:r>
    </w:p>
    <w:p>
      <w:pPr>
        <w:pStyle w:val="TextBody"/>
        <w:bidi w:val="0"/>
        <w:spacing w:lineRule="auto" w:line="288" w:before="0" w:after="0"/>
        <w:rPr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año,tasa de natalidad</w:t>
      </w:r>
      <w:r>
        <w:rPr>
          <w:sz w:val="12"/>
          <w:szCs w:val="12"/>
        </w:rPr>
        <w:br/>
      </w:r>
      <w:r>
        <w:rPr>
          <w:rFonts w:ascii="Bitstream Vera Sans Mono" w:hAnsi="Bitstream Vera Sans Mono"/>
          <w:sz w:val="12"/>
          <w:szCs w:val="12"/>
        </w:rPr>
        <w:t>2011,18.06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2012,17.95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2013,17.83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2014,17.70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2015,17.55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2016,17.38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2017,17.21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18"/>
          <w:szCs w:val="18"/>
        </w:rPr>
        <w:t>precios de leche (</w:t>
      </w:r>
      <w:hyperlink r:id="rId6">
        <w:r>
          <w:rPr>
            <w:rStyle w:val="InternetLink"/>
            <w:rFonts w:ascii="Liberation Serif" w:hAnsi="Liberation Serif"/>
            <w:sz w:val="18"/>
            <w:szCs w:val="18"/>
          </w:rPr>
          <w:t>https://datos.agroindustria.gob.ar/dataset/precio-promedio-litro-leche-pagado-al-productor/archivo/df8f7d09-797e-4e0b-9ad0-160f99edf2c0</w:t>
        </w:r>
      </w:hyperlink>
      <w:r>
        <w:rPr>
          <w:rFonts w:ascii="Liberation Serif" w:hAnsi="Liberation Serif"/>
          <w:sz w:val="18"/>
          <w:szCs w:val="18"/>
        </w:rPr>
        <w:t>)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20" w:hanging="0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año,mes,precio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2011,1,1419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2011,2,1491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2011,3,1539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2011,4,1567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2011,5,1543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2011,6,1543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2011,7,1514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2011,8,1497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2011,9,1496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2011,10,1483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2011,11,1480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2011,12,1474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2012,1,1504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2012,2,1528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2012,3,1568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2012,4,1587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2012,5,1587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2012,6,1581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2012,7,1580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2012,8,1556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2012,9,1543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2012,10,1552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2012,11,1584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2012,12,1634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2013,1,1725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2013,2,1809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2013,3,1942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2013,4,2038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2013,5,2075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2013,6,2108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2013,7,2138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2013,8,2147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2013,9,2169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2013,10,2197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2013,11,2250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2013,12,2301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2014,1,2465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2014,2,2690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2014,3,2794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2014,4,2943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2014,5,2973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2014,6,3062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2014,7,3146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2014,8,3112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2014,9,3153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2014,10,3175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2014,11,3249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2014,12,3219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2015,1,3173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2015,2,3250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2015,3,3228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2015,4,3281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2015,5,3256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2015,6,3188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2015,7,3066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2015,8,2835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2015,9,2680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2015,10,2682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2015,11,2596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2015,12,2575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2016,1,2750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2016,2,2806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2016,3,2890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2016,4,3347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2016,5,3961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2016,6,4121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2016,7,4194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2016,8,4266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2016,9,4377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2016,10,4428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2016,11,4525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2016,12,4710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2017,1,4949</w:t>
      </w:r>
    </w:p>
    <w:p>
      <w:pPr>
        <w:pStyle w:val="TextBody"/>
        <w:bidi w:val="0"/>
        <w:spacing w:lineRule="auto" w:line="288" w:before="0" w:after="0"/>
        <w:rPr>
          <w:rFonts w:ascii="Bitstream Vera Sans Mono" w:hAnsi="Bitstream Vera Sans Mono"/>
          <w:sz w:val="12"/>
          <w:szCs w:val="12"/>
        </w:rPr>
      </w:pPr>
      <w:r>
        <w:rPr>
          <w:rFonts w:ascii="Bitstream Vera Sans Mono" w:hAnsi="Bitstream Vera Sans Mono"/>
          <w:sz w:val="12"/>
          <w:szCs w:val="12"/>
        </w:rPr>
        <w:t>2017,2,5076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Vera Sans Mono">
    <w:charset w:val="01"/>
    <w:family w:val="auto"/>
    <w:pitch w:val="fixed"/>
  </w:font>
  <w:font w:name="Liberation Serif">
    <w:altName w:val="Times New Roman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atos.agroindustria.gob.ar/dataset/precio-promedio-litro-leche-pagado-al-productor/archivo/df8f7d09-797e-4e0b-9ad0-160f99edf2c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LibreOffice/5.2.7.2$Linux_X86_64 LibreOffice_project/20m0$Build-2</Application>
  <Pages>5</Pages>
  <Words>712</Words>
  <Characters>4164</Characters>
  <CharactersWithSpaces>4798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2020-06-18T17:24:06Z</dcterms:created>
  <dc:creator/>
  <dc:description/>
  <dc:language>en-US</dc:language>
  <cp:lastModifiedBy/>
  <dcterms:modified xsi:type="dcterms:W3CDTF">2020-06-18T20:10:32Z</dcterms:modified>
  <cp:revision>89</cp:revision>
  <dc:subject/>
  <dc:title/>
</cp:coreProperties>
</file>