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Palavritas — O que está determinando se um usuário volta a jogar?</w:t>
      </w:r>
    </w:p>
    <w:p>
      <w:pPr>
        <w:spacing w:after="240"/>
      </w:pPr>
      <w:r>
        <w:rPr>
          <w:i/>
          <w:iCs/>
          <w:color w:val="595959"/>
        </w:rPr>
        <w:t xml:space="preserve">Análise de comportamento e proposta de ação | Preparado para a área de Produto</w:t>
      </w:r>
    </w:p>
    <w:p>
      <w:pPr>
        <w:pStyle w:val="Heading2"/>
      </w:pPr>
      <w:r>
        <w:t xml:space="preserve">Resumo executivo</w:t>
      </w:r>
    </w:p>
    <w:p>
      <w:pPr>
        <w:spacing w:after="160"/>
      </w:pPr>
      <w:r>
        <w:t xml:space="preserve">Analisei os dados de comportamento do Palavritas dos últimos meses para entender o que diferencia um usuário que continua jogando de um que abandona. O achado mais relevante: usuários que abrem a newsletter do the news antes de jogar têm uma chance bem maior de continuar ativos 30 dias depois — uma diferença de quase 8 pontos percentuais. Esse comportamento, porém, está concentrado inteiramente nas primeiras horas da manhã, o que sugere que estamos observando uma rotina matinal única, e não dois hábitos separados.</w:t>
      </w:r>
    </w:p>
    <w:p>
      <w:pPr>
        <w:spacing w:after="240"/>
      </w:pPr>
      <w:r>
        <w:t xml:space="preserve">Antes de investir em mudanças de produto com base nesse achado, recomendo um teste controlado simples para confirmar se a newsletter realmente influencia a retenção, ou se apenas identifica usuários que já eram mais engajados. Os detalhes estão no fim deste documento.</w:t>
      </w:r>
    </w:p>
    <w:p>
      <w:pPr>
        <w:pStyle w:val="Heading2"/>
      </w:pPr>
      <w:r>
        <w:t xml:space="preserve">Diagnóstico dos dados</w:t>
      </w:r>
    </w:p>
    <w:p>
      <w:pPr>
        <w:spacing w:after="160"/>
      </w:pPr>
      <w:r>
        <w:t xml:space="preserve">Antes de qualquer análise, revisei a qualidade dos três arquivos recebidos (sessões de jogo, tentativas e perfil de usuários). Encontrei alguns problemas que, se não fossem corrigidos, distorceriam os resultados: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Cerca de 1.200 registros de sessão estavam duplicados e foram removidos.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datas vinham em dois formatos diferentes na mesma coluna, o que foi padronizado.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campo que deveria indicar “quantas tentativas o usuário usou” não é confiável: não há nenhum registro de vitória na 4ª ou 5ª tentativa em toda a base, e toda derrota aparece com o mesmo valor fixo. Por isso, não uso esse campo para conclusões que dependam de tentativas exatas.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Apenas 800 dos 1.200 usuários da base têm dados de perfil (idade, setor, salário etc.) — ou seja, qualquer leitura que cruze comportamento com perfil cobre 2 de cada 3 usuários, e pode haver algum viés de quem respondeu à pesquisa de perfil.</w:t>
      </w:r>
    </w:p>
    <w:p>
      <w:pPr>
        <w:spacing w:after="240"/>
      </w:pPr>
      <w:r>
        <w:t xml:space="preserve">Pequenos erros de digitação e duplicidade de categorias (ex.: “gerente” e “Gerente” contados separadamente) também foram corrigidos antes da análise.</w:t>
      </w:r>
    </w:p>
    <w:p>
      <w:pPr>
        <w:pStyle w:val="Heading2"/>
      </w:pPr>
      <w:r>
        <w:t xml:space="preserve">Principais achados</w:t>
      </w:r>
    </w:p>
    <w:p>
      <w:pPr>
        <w:spacing w:after="120"/>
      </w:pPr>
      <w:r>
        <w:rPr>
          <w:b/>
          <w:bCs/>
        </w:rPr>
        <w:t xml:space="preserve">1. Quem lê a newsletter antes de jogar, volta mais.</w:t>
      </w:r>
    </w:p>
    <w:p>
      <w:pPr>
        <w:spacing w:after="160"/>
      </w:pPr>
      <w:r>
        <w:t xml:space="preserve">Usuários que abrem a newsletter do the news antes de jogar no mesmo dia têm 37,8% de chance de continuar ativos 30 dias depois, contra 30,5% entre quem não abre — uma diferença grande e estatisticamente confiável (testei isso formalmente, e a diferença não é coincidência: a chance de esse resultado ser acaso é menor que 1 em 1 bilhão).</w:t>
      </w:r>
    </w:p>
    <w:p>
      <w:pPr>
        <w:spacing w:after="240"/>
        <w:jc w:val="center"/>
      </w:pPr>
      <w:r>
        <w:drawing>
          <wp:inline distT="0" distB="0" distL="0" distR="0">
            <wp:extent cx="4286250" cy="2857500"/>
            <wp:effectExtent t="0" r="0" b="0" l="0"/>
            <wp:docPr id="1" name="chart1" descr="Gráfico de retenção D30 por abertura de newsletter" title="Retenção por newsle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2. Esse comportamento é, na prática, uma rotina matinal — não dois hábitos separados.</w:t>
      </w:r>
    </w:p>
    <w:p>
      <w:pPr>
        <w:spacing w:after="160"/>
      </w:pPr>
      <w:r>
        <w:t xml:space="preserve">Ao olhar mais de perto, descobri que abrir a newsletter antes de jogar e jogar logo pela manhã (entre 6h e 8h) são, na prática, a mesma coisa: 100% das sessões em que a pessoa abriu a newsletter antes aconteceram nesse horário. Ou seja, não são dois sinais diferentes confirmando a mesma conclusão — é um único comportamento, uma rotina matinal de consumo do the news que inclui o jogo.</w:t>
      </w:r>
    </w:p>
    <w:p>
      <w:pPr>
        <w:spacing w:after="240"/>
        <w:jc w:val="center"/>
      </w:pPr>
      <w:r>
        <w:drawing>
          <wp:inline distT="0" distB="0" distL="0" distR="0">
            <wp:extent cx="4572000" cy="2819400"/>
            <wp:effectExtent t="0" r="0" b="0" l="0"/>
            <wp:docPr id="1" name="chart2" descr="Gráfico de retenção D30 por período típico de jogo" title="Retenção por período do 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3. O que testamos e não se confirmou como relevante.</w:t>
      </w:r>
    </w:p>
    <w:p>
      <w:pPr>
        <w:spacing w:after="160"/>
      </w:pPr>
      <w:r>
        <w:t xml:space="preserve">Testei também dispositivo (iOS vs Android), setor de trabalho, faixa salarial, porte da empresa e frequência de uso de apps de delivery — nenhuma dessas variáveis mostrou relação relevante com a retenção. A sequência de dias consecutivos jogando (“streak”) parecia relevante numa primeira olhada, mas, ao testar com mais rigor, isolando o efeito da newsletter, essa relação não se sustentou.</w:t>
      </w:r>
    </w:p>
    <w:p>
      <w:pPr>
        <w:spacing w:after="120"/>
      </w:pPr>
      <w:r>
        <w:rPr>
          <w:b/>
          <w:bCs/>
        </w:rPr>
        <w:t xml:space="preserve">4. Um ponto importante: correlação não é a mesma coisa que causa.</w:t>
      </w:r>
    </w:p>
    <w:p>
      <w:pPr>
        <w:spacing w:after="240"/>
      </w:pPr>
      <w:r>
        <w:t xml:space="preserve">É tentador concluir que “a newsletter aumenta a retenção” e agir direto sobre isso. Mas existe uma explicação alternativa igualmente plausível: esse grupo pode já ser, de forma geral, mais engajado com o the news como um todo — e por isso abre a newsletter e joga, sem que uma coisa necessariamente cause a outra. Essa distinção importa porque muda a ação recomendada, como explico a seguir.</w:t>
      </w:r>
    </w:p>
    <w:p>
      <w:pPr>
        <w:pStyle w:val="Heading2"/>
      </w:pPr>
      <w:r>
        <w:t xml:space="preserve">Proposta de 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Hipótese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correlação observada pode refletir um perfil de usuário já mais engajado com o the news como um todo, e não necessariamente um efeito causal da newsletter sobre a retenção do jogo.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Antes de mudar o produto, rodar um teste controlado: selecionar aleatoriamente um grupo de usuários que normalmente não abrem a newsletter antes de jogar, e enviar um incentivo (notificação ou e-mail) para que abram a newsletter antes de jogar por 2 semanas. Comparar com um grupo controle equivalente que não recebe o incentivo.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Critério de sucesso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o grupo que recebeu o incentivo tiver retenção em D30 significativamente maior que o grupo controle, confirmamos um efeito causal e isso justifica investir em mudanças de produto (ex.: link direto da newsletter para o jogo). Se não houver diferença, o achado deve ser tratado como um indicador de engajamento já existente, e o esforço de retenção deve ser direcionado para outras frentes.</w:t>
            </w:r>
          </w:p>
        </w:tc>
      </w:tr>
    </w:tbl>
    <w:p>
      <w:pPr>
        <w:spacing w:before="240"/>
      </w:pPr>
      <w:r>
        <w:rPr>
          <w:i/>
          <w:iCs/>
          <w:color w:val="595959"/>
          <w:sz w:val="20"/>
          <w:szCs w:val="20"/>
        </w:rPr>
        <w:t xml:space="preserve">Código, queries e o detalhamento técnico completo desta análise estão disponíveis no notebook anexo.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271f5f766067bfab1ad9168a0e2171158662020.png"/><Relationship Id="rId8" Type="http://schemas.openxmlformats.org/officeDocument/2006/relationships/image" Target="media/3367e3e433a335d760e9739650f48c1b5a04b29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2026-06-28T20:44:21.413Z</dcterms:created>
  <dcterms:modified xsi:type="dcterms:W3CDTF">2026-06-28T20:44:21.424Z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