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SuriOS - Ecosystem Design Language (EDL)</w:t>
      </w:r>
    </w:p>
    <w:p>
      <w:r>
        <w:t>Versión 0.6</w:t>
        <w:br/>
        <w:t>Manual de diseño, arquitectura y desarrollo del ecosistema SuriOS</w:t>
        <w:br/>
        <w:t>Documento completo</w:t>
        <w:br/>
        <w:t>Estado: Lenguaje de diseño del ecosistema SuriOS</w:t>
      </w:r>
    </w:p>
    <w:p>
      <w:pPr>
        <w:pStyle w:val="Heading2"/>
      </w:pPr>
      <w:r>
        <w:t>1. Propósito</w:t>
      </w:r>
    </w:p>
    <w:p>
      <w:r>
        <w:t>El EDL define las normas visuales, funcionales y de interacción comunes a todos los proyectos del ecosistema SuriOS. Ningún proyecto duplicará estas reglas; todos las referenciarán desde su documentación específica.</w:t>
      </w:r>
    </w:p>
    <w:p>
      <w:pPr>
        <w:pStyle w:val="Heading2"/>
      </w:pPr>
      <w:r>
        <w:t>2. Proyectos del ecosistema</w:t>
      </w:r>
    </w:p>
    <w:p>
      <w:r>
        <w:t>• PIP-SuriOS (MRPD)</w:t>
        <w:br/>
        <w:t>• SuriOS Watch (WFRPD)</w:t>
        <w:br/>
        <w:t>• PIP-SuriOS Launcher (futuro)</w:t>
        <w:br/>
        <w:t>• Cualquier proyecto futuro del ecosistema SuriOS.</w:t>
      </w:r>
    </w:p>
    <w:p>
      <w:pPr>
        <w:pStyle w:val="Heading2"/>
      </w:pPr>
      <w:r>
        <w:t>3. Filosofía del ecosistema</w:t>
      </w:r>
    </w:p>
    <w:p>
      <w:r>
        <w:t>• Utilidad antes que decoración.</w:t>
        <w:br/>
        <w:t>• Inspiración RobCo y Brotherhood of Steel, no copia literal.</w:t>
        <w:br/>
        <w:t>• Coherencia entre dispositivos.</w:t>
        <w:br/>
        <w:t>• Diseño modular y reutilizable.</w:t>
        <w:br/>
        <w:t>• Toda interfaz debe tener un propósito claro.</w:t>
        <w:br/>
        <w:t>• Ningún elemento ocupa espacio sin aportar información o utilidad.</w:t>
      </w:r>
    </w:p>
    <w:p>
      <w:pPr>
        <w:pStyle w:val="Heading2"/>
      </w:pPr>
      <w:r>
        <w:t>4. Identidad visual</w:t>
      </w:r>
    </w:p>
    <w:p>
      <w:pPr>
        <w:pStyle w:val="Heading3"/>
      </w:pPr>
      <w:r>
        <w:t>4.1 Paleta oficial</w:t>
      </w:r>
    </w:p>
    <w:p>
      <w:r>
        <w:t>PipBlack  #000000</w:t>
        <w:br/>
        <w:t>PipGreen  #66FF66</w:t>
        <w:br/>
        <w:t>PipGreenDim  #3FAF5A</w:t>
        <w:br/>
        <w:t>PipAmber  #FFC857</w:t>
        <w:br/>
        <w:t>PipRed  #FF4D4D</w:t>
        <w:br/>
        <w:br/>
        <w:t>Todo nuevo color deberá aprobarse e incorporarse previamente al EDL.</w:t>
      </w:r>
    </w:p>
    <w:p>
      <w:pPr>
        <w:pStyle w:val="Heading3"/>
      </w:pPr>
      <w:r>
        <w:t>4.2 Tipografía</w:t>
      </w:r>
    </w:p>
    <w:p>
      <w:r>
        <w:t>Fuente oficial: Consolas.</w:t>
        <w:br/>
        <w:t>Monoespaciada, excelente legibilidad, estética terminal y amplia compatibilidad.</w:t>
      </w:r>
    </w:p>
    <w:p>
      <w:pPr>
        <w:pStyle w:val="Heading3"/>
      </w:pPr>
      <w:r>
        <w:t>4.3 Jerarquía tipográfica</w:t>
      </w:r>
    </w:p>
    <w:p>
      <w:r>
        <w:t>Nivel 1: Títulos.</w:t>
        <w:br/>
        <w:t>Nivel 2: Información principal.</w:t>
        <w:br/>
        <w:t>Nivel 3: Información secundaria.</w:t>
        <w:br/>
        <w:t>Nivel 4: Información contextual.</w:t>
      </w:r>
    </w:p>
    <w:p>
      <w:pPr>
        <w:pStyle w:val="Heading3"/>
      </w:pPr>
      <w:r>
        <w:t>4.4 Reglas de contraste</w:t>
      </w:r>
    </w:p>
    <w:p>
      <w:r>
        <w:t>Información principal → PipGreen.</w:t>
        <w:br/>
        <w:t>Información secundaria → PipGreenDim.</w:t>
        <w:br/>
        <w:t>Advertencias → PipAmber.</w:t>
        <w:br/>
        <w:t>Estados críticos → PipRed.</w:t>
        <w:br/>
        <w:t>Fondo → PipBlack.</w:t>
        <w:br/>
        <w:t>La jerarquía visual se consigue mediante contraste, tamaño y posición.</w:t>
      </w:r>
    </w:p>
    <w:p>
      <w:pPr>
        <w:pStyle w:val="Heading3"/>
      </w:pPr>
      <w:r>
        <w:t>4.5 Compatibilidad AMOLED</w:t>
      </w:r>
    </w:p>
    <w:p>
      <w:r>
        <w:t>El fondo oficial será siempre negro puro (#000000), optimizando el consumo en pantallas AMOLED.</w:t>
      </w:r>
    </w:p>
    <w:p>
      <w:pPr>
        <w:pStyle w:val="Heading3"/>
      </w:pPr>
      <w:r>
        <w:t>4.6 Fichas técnicas de color</w:t>
      </w:r>
    </w:p>
    <w:p>
      <w:pPr>
        <w:pStyle w:val="Heading4"/>
      </w:pPr>
      <w:r>
        <w:t>PipBlack</w:t>
      </w:r>
    </w:p>
    <w:p>
      <w:r>
        <w:t>HEX: #000000</w:t>
        <w:br/>
        <w:t>Uso: Fondo principal</w:t>
        <w:br/>
        <w:t>No utilizar para: Fondos degradados</w:t>
      </w:r>
    </w:p>
    <w:p>
      <w:pPr>
        <w:pStyle w:val="Heading4"/>
      </w:pPr>
      <w:r>
        <w:t>PipGreen</w:t>
      </w:r>
    </w:p>
    <w:p>
      <w:r>
        <w:t>HEX: #66FF66</w:t>
        <w:br/>
        <w:t>Uso: Texto principal y elementos activos</w:t>
        <w:br/>
        <w:t>No utilizar para: Advertencias</w:t>
      </w:r>
    </w:p>
    <w:p>
      <w:pPr>
        <w:pStyle w:val="Heading4"/>
      </w:pPr>
      <w:r>
        <w:t>PipGreenDim</w:t>
      </w:r>
    </w:p>
    <w:p>
      <w:r>
        <w:t>HEX: #3FAF5A</w:t>
        <w:br/>
        <w:t>Uso: Texto secundario</w:t>
        <w:br/>
        <w:t>No utilizar para: Información crítica</w:t>
      </w:r>
    </w:p>
    <w:p>
      <w:pPr>
        <w:pStyle w:val="Heading4"/>
      </w:pPr>
      <w:r>
        <w:t>PipAmber</w:t>
      </w:r>
    </w:p>
    <w:p>
      <w:r>
        <w:t>HEX: #FFC857</w:t>
        <w:br/>
        <w:t>Uso: Advertencias</w:t>
        <w:br/>
        <w:t>No utilizar para: Uso general</w:t>
      </w:r>
    </w:p>
    <w:p>
      <w:pPr>
        <w:pStyle w:val="Heading4"/>
      </w:pPr>
      <w:r>
        <w:t>PipRed</w:t>
      </w:r>
    </w:p>
    <w:p>
      <w:r>
        <w:t>HEX: #FF4D4D</w:t>
        <w:br/>
        <w:t>Uso: Errores y estados críticos</w:t>
        <w:br/>
        <w:t>No utilizar para: Información normal</w:t>
      </w:r>
    </w:p>
    <w:p>
      <w:pPr>
        <w:pStyle w:val="Heading2"/>
      </w:pPr>
      <w:r>
        <w:t>5. Componentes de interfaz</w:t>
      </w:r>
    </w:p>
    <w:p>
      <w:pPr>
        <w:pStyle w:val="Heading3"/>
      </w:pPr>
      <w:r>
        <w:t>5.1 Biblioteca oficial</w:t>
      </w:r>
    </w:p>
    <w:p>
      <w:r>
        <w:t>Todo componente reutilizable deberá definirse primero en el EDL antes de utilizarse en cualquier proyecto.</w:t>
      </w:r>
    </w:p>
    <w:p>
      <w:pPr>
        <w:pStyle w:val="Heading3"/>
      </w:pPr>
      <w:r>
        <w:t>5.2 Botón estándar</w:t>
      </w:r>
    </w:p>
    <w:p>
      <w:r>
        <w:t>Rectangular, esquinas rectas, borde fino verde, fondo negro, inversión de colores al pulsar. Tamaños oficiales S, M y L.</w:t>
      </w:r>
    </w:p>
    <w:p>
      <w:pPr>
        <w:pStyle w:val="Heading3"/>
      </w:pPr>
      <w:r>
        <w:t>5.3 Cabecera estándar</w:t>
      </w:r>
    </w:p>
    <w:p>
      <w:r>
        <w:t>Todas las pantallas utilizarán el encabezado institucional BROTHERHOOD OF STEEL seguido del nombre del módulo.</w:t>
      </w:r>
    </w:p>
    <w:p>
      <w:pPr>
        <w:pStyle w:val="Heading3"/>
      </w:pPr>
      <w:r>
        <w:t>5.4 Iconografía</w:t>
      </w:r>
    </w:p>
    <w:p>
      <w:r>
        <w:t>Monocroma, outline, sin sombras, sin degradados y con grosor uniforme. No mezclar familias.</w:t>
      </w:r>
    </w:p>
    <w:p>
      <w:pPr>
        <w:pStyle w:val="Heading3"/>
      </w:pPr>
      <w:r>
        <w:t>5.5 Indicadores</w:t>
      </w:r>
    </w:p>
    <w:p>
      <w:r>
        <w:t>Siempre combinarán indicador gráfico y valor numérico. Se permiten barras, agujas, indicadores circulares, sectores u otros justificados.</w:t>
      </w:r>
    </w:p>
    <w:p>
      <w:pPr>
        <w:pStyle w:val="Heading3"/>
      </w:pPr>
      <w:r>
        <w:t>5.6 Paneles</w:t>
      </w:r>
    </w:p>
    <w:p>
      <w:r>
        <w:t>Fondo negro, líneas verdes, sin rellenos ni sombras.</w:t>
      </w:r>
    </w:p>
    <w:p>
      <w:pPr>
        <w:pStyle w:val="Heading3"/>
      </w:pPr>
      <w:r>
        <w:t>5.7 Listas</w:t>
      </w:r>
    </w:p>
    <w:p>
      <w:r>
        <w:t>La navegación utilizará el cursor ► para indicar el elemento seleccionado.</w:t>
      </w:r>
    </w:p>
    <w:p>
      <w:pPr>
        <w:pStyle w:val="Heading3"/>
      </w:pPr>
      <w:r>
        <w:t>5.8 Cursor y selección</w:t>
      </w:r>
    </w:p>
    <w:p>
      <w:r>
        <w:t>► para navegación; inversión de colores para elemento activo o confirmado.</w:t>
      </w:r>
    </w:p>
    <w:p>
      <w:pPr>
        <w:pStyle w:val="Heading3"/>
      </w:pPr>
      <w:r>
        <w:t>5.9 Espaciado</w:t>
      </w:r>
    </w:p>
    <w:p>
      <w:r>
        <w:t>Cuadrícula base de 8 px, adaptada proporcionalmente en Wear OS.</w:t>
      </w:r>
    </w:p>
    <w:p>
      <w:pPr>
        <w:pStyle w:val="Heading3"/>
      </w:pPr>
      <w:r>
        <w:t>5.10 Patrones de interacción</w:t>
      </w:r>
    </w:p>
    <w:p>
      <w:r>
        <w:t>Acciones importantes con confirmación, respuesta inmediata, animaciones funcionales y sensación de terminal técnico.</w:t>
      </w:r>
    </w:p>
    <w:p>
      <w:pPr>
        <w:pStyle w:val="Heading2"/>
      </w:pPr>
      <w:r>
        <w:t>6. Arquitectura de la interfaz</w:t>
      </w:r>
    </w:p>
    <w:p>
      <w:pPr>
        <w:pStyle w:val="Heading3"/>
      </w:pPr>
      <w:r>
        <w:t>6.1 Estructura estándar</w:t>
      </w:r>
    </w:p>
    <w:p>
      <w:r>
        <w:t>Cabecera institucional → Nombre del módulo → Contenido principal → Zona de acciones.</w:t>
        <w:br/>
        <w:t>Todas las pantallas deberán seguir esta estructura salvo justificación documentada.</w:t>
      </w:r>
    </w:p>
    <w:p>
      <w:pPr>
        <w:pStyle w:val="Heading3"/>
      </w:pPr>
      <w:r>
        <w:t>6.2 Jerarquía visual</w:t>
      </w:r>
    </w:p>
    <w:p>
      <w:r>
        <w:t>1. Cabecera institucional.</w:t>
        <w:br/>
        <w:t>2. Nombre del módulo.</w:t>
        <w:br/>
        <w:t>3. Información principal.</w:t>
        <w:br/>
        <w:t>4. Información secundaria.</w:t>
        <w:br/>
        <w:t>5. Acciones.</w:t>
      </w:r>
    </w:p>
    <w:p>
      <w:pPr>
        <w:pStyle w:val="Heading3"/>
      </w:pPr>
      <w:r>
        <w:t>6.3 Navegación</w:t>
      </w:r>
    </w:p>
    <w:p>
      <w:r>
        <w:t>• Máximo tres niveles de profundidad recomendados.</w:t>
        <w:br/>
        <w:t>• Siempre debe existir una forma clara de volver.</w:t>
        <w:br/>
        <w:t>• El usuario nunca debe perder el contexto.</w:t>
      </w:r>
    </w:p>
    <w:p>
      <w:pPr>
        <w:pStyle w:val="Heading3"/>
      </w:pPr>
      <w:r>
        <w:t>6.4 Distribución</w:t>
      </w:r>
    </w:p>
    <w:p>
      <w:r>
        <w:t>Información prioritaria en la parte superior, acciones al final y, cuando sea posible, indicadores en posiciones laterales consistentes.</w:t>
      </w:r>
    </w:p>
    <w:p>
      <w:pPr>
        <w:pStyle w:val="Heading3"/>
      </w:pPr>
      <w:r>
        <w:t>6.5 Consistencia</w:t>
      </w:r>
    </w:p>
    <w:p>
      <w:r>
        <w:t>Una pantalla nueva debe ser reconocible como parte del ecosistema SuriOS aunque el usuario nunca la haya visto.</w:t>
      </w:r>
    </w:p>
    <w:p>
      <w:pPr>
        <w:pStyle w:val="Heading3"/>
      </w:pPr>
      <w:r>
        <w:t>6.6 Densidad de información</w:t>
      </w:r>
    </w:p>
    <w:p>
      <w:r>
        <w:t>Se prioriza mostrar mucha información sin saturar la interfaz.</w:t>
        <w:br/>
        <w:t>El desplazamiento (scroll) deberá evitarse cuando sea posible, pero está permitido cuando la naturaleza de la información lo requiera (por ejemplo, historiales como MISSION LOG).</w:t>
      </w:r>
    </w:p>
    <w:p>
      <w:pPr>
        <w:pStyle w:val="Heading3"/>
      </w:pPr>
      <w:r>
        <w:t>6.7 Filosofía de navegación</w:t>
      </w:r>
    </w:p>
    <w:p>
      <w:r>
        <w:t>El usuario siempre pulsa; nunca debe adivinar.</w:t>
        <w:br/>
        <w:t>No habrá gestos ocultos ni navegación confusa.</w:t>
      </w:r>
    </w:p>
    <w:p>
      <w:pPr>
        <w:pStyle w:val="Heading2"/>
      </w:pPr>
      <w:r>
        <w:t>7. Guía para desarrolladores e IA</w:t>
      </w:r>
    </w:p>
    <w:p>
      <w:pPr>
        <w:pStyle w:val="Heading3"/>
      </w:pPr>
      <w:r>
        <w:t>7.1 Principio de implementación</w:t>
      </w:r>
    </w:p>
    <w:p>
      <w:pPr/>
      <w:r>
        <w:t>Todo desarrollo dentro del ecosistema SuriOS deberá seguir este orden obligatorio:</w:t>
        <w:br/>
        <w:br/>
        <w:t>EDL → PRD específico → Sprint → Implementación → Pruebas → Commit.</w:t>
        <w:br/>
        <w:br/>
        <w:t>El diseño y las decisiones comunes se consultan primero en el EDL. Los requisitos funcionales y técnicos se consultan después en el documento específico del proyecto (MRPD, WFRPD u otro PRD). La implementación se divide en sprints pequeños y verificables. No se debe invertir este orden ni comenzar a programar una funcionalidad que todavía no esté documentada.</w:t>
      </w:r>
    </w:p>
    <w:p>
      <w:pPr>
        <w:pStyle w:val="Heading3"/>
      </w:pPr>
      <w:r>
        <w:t>7.2 Fuente de verdad y jerarquía documental</w:t>
      </w:r>
    </w:p>
    <w:p>
      <w:pPr/>
      <w:r>
        <w:t>La jerarquía oficial de referencia es:</w:t>
        <w:br/>
        <w:br/>
        <w:t>1. EDL: reglas comunes de identidad, interacción, arquitectura visual y método de trabajo.</w:t>
        <w:br/>
        <w:t>2. PRD específico: requisitos, alcance, prioridades y decisiones particulares de cada proyecto.</w:t>
        <w:br/>
        <w:t>3. Código: materialización técnica de lo aprobado en los documentos anteriores.</w:t>
        <w:br/>
        <w:br/>
        <w:t>Si existe una discrepancia, el código deberá adaptarse al PRD y el PRD deberá respetar el EDL. Una diferencia técnica no autoriza a modificar el diseño o los requisitos de forma automática. Toda excepción deberá documentarse y aprobarse antes de aplicarse.</w:t>
      </w:r>
    </w:p>
    <w:p>
      <w:pPr>
        <w:pStyle w:val="Heading3"/>
      </w:pPr>
      <w:r>
        <w:t>7.3 Ciclo oficial de trabajo</w:t>
      </w:r>
    </w:p>
    <w:p>
      <w:pPr/>
      <w:r>
        <w:t>Cada nueva funcionalidad seguirá el ciclo siguiente:</w:t>
        <w:br/>
        <w:br/>
        <w:t>1. Idea.</w:t>
        <w:br/>
        <w:t>2. Discusión y análisis de utilidad, encaje y complejidad.</w:t>
        <w:br/>
        <w:t>3. Asignación de prioridad cuando corresponda.</w:t>
        <w:br/>
        <w:t>4. Aprobación.</w:t>
        <w:br/>
        <w:t>5. Actualización del EDL si la idea modifica una regla común del ecosistema.</w:t>
        <w:br/>
        <w:t>6. Actualización del PRD específico.</w:t>
        <w:br/>
        <w:t>7. Definición del sprint.</w:t>
        <w:br/>
        <w:t>8. Implementación.</w:t>
        <w:br/>
        <w:t>9. Pruebas en emulador y, cuando sea posible, en dispositivo real.</w:t>
        <w:br/>
        <w:t>10. Commit de Git.</w:t>
        <w:br/>
        <w:t>11. Actualización documental si durante la implementación se aprobó algún cambio.</w:t>
        <w:br/>
        <w:br/>
        <w:t>Ninguna fase posterior deberá utilizarse para evitar una fase anterior. Por ejemplo, una limitación técnica debe documentarse y revisarse antes de alterar la especificación.</w:t>
      </w:r>
    </w:p>
    <w:p>
      <w:pPr>
        <w:pStyle w:val="Heading3"/>
      </w:pPr>
      <w:r>
        <w:t>7.4 Normas para asistentes de IA</w:t>
      </w:r>
    </w:p>
    <w:p>
      <w:pPr/>
      <w:r>
        <w:t>Orca, Codex y cualquier asistente de IA empleado en proyectos SuriOS deberán respetar estas normas:</w:t>
        <w:br/>
        <w:br/>
        <w:t>• Leer el EDL vigente antes del PRD específico.</w:t>
        <w:br/>
        <w:t>• No añadir funcionalidades que no estén documentadas y aprobadas.</w:t>
        <w:br/>
        <w:t>• No modificar el diseño, la navegación, la terminología ni las prioridades sin autorización.</w:t>
        <w:br/>
        <w:t>• Trabajar únicamente sobre el sprint solicitado.</w:t>
        <w:br/>
        <w:t>• Explicar de forma sencilla qué cambiará antes de aplicar código adicional cuando el propietario esté siguiendo el proceso paso a paso.</w:t>
        <w:br/>
        <w:t>• Ante una limitación técnica, detenerse, documentarla y proponer alternativas; no escoger una alternativa por iniciativa propia.</w:t>
        <w:br/>
        <w:t>• No eliminar código funcional sin una justificación clara y una aprobación previa.</w:t>
        <w:br/>
        <w:t>• Mantener el código comentado y comprensible para un propietario con conocimientos iniciales de programación.</w:t>
        <w:br/>
        <w:t>• Evitar refactorizaciones amplias que no sean necesarias para completar el sprint actual.</w:t>
        <w:br/>
        <w:t>• Mantener coherencia con el EDL y con la última versión completa del PRD correspondiente.</w:t>
      </w:r>
    </w:p>
    <w:p>
      <w:pPr>
        <w:pStyle w:val="Heading3"/>
      </w:pPr>
      <w:r>
        <w:t>7.5 Gestión documental y versionado</w:t>
      </w:r>
    </w:p>
    <w:p>
      <w:pPr/>
      <w:r>
        <w:t>Todos los documentos del ecosistema SuriOS seguirán estas reglas:</w:t>
        <w:br/>
        <w:br/>
        <w:t>• Cada nueva versión será completa y autocontenida.</w:t>
        <w:br/>
        <w:t>• Una versión nueva partirá íntegramente de la anterior y añadirá, corregirá o reorganizará únicamente lo aprobado.</w:t>
        <w:br/>
        <w:t>• Nunca se entregará una versión que contenga solo un resumen de cambios.</w:t>
        <w:br/>
        <w:t>• Nunca se sobrescribirá una versión anterior.</w:t>
        <w:br/>
        <w:t>• Las versiones anteriores podrán conservarse como copias de seguridad e histórico.</w:t>
        <w:br/>
        <w:t>• La última versión deberá poder entregarse directamente a Orca sin necesidad de consultar documentos anteriores.</w:t>
        <w:br/>
        <w:t>• Los cambios relevantes se reflejarán en un historial de versiones o registro de cambios.</w:t>
        <w:br/>
        <w:t>• El estado documental y el estado de implementación podrán avanzar de forma independiente y deberán indicarse por separado cuando corresponda.</w:t>
      </w:r>
    </w:p>
    <w:p>
      <w:pPr>
        <w:pStyle w:val="Heading3"/>
      </w:pPr>
      <w:r>
        <w:t>7.6 Gestión de Git</w:t>
      </w:r>
    </w:p>
    <w:p>
      <w:pPr/>
      <w:r>
        <w:t>La gestión de Git seguirá estas normas comunes:</w:t>
        <w:br/>
        <w:br/>
        <w:t>• Crear un commit cuando una funcionalidad o sprint alcance un estado estable y verificable.</w:t>
        <w:br/>
        <w:t>• Utilizar mensajes breves y descriptivos.</w:t>
        <w:br/>
        <w:t>• No mezclar funcionalidades diferentes en un mismo commit salvo que formen una única unidad inseparable.</w:t>
        <w:br/>
        <w:t>• Comprobar que el proyecto compila y funciona antes del commit.</w:t>
        <w:br/>
        <w:t>• Mantener alineados el número de versión visible, el título del commit y el historial documental cuando se trate de un hito de versión.</w:t>
        <w:br/>
        <w:t>• Utilizar Git como punto de restauración local; el uso futuro de GitHub añadirá una copia remota mediante push, sin sustituir los commits locales.</w:t>
        <w:br/>
        <w:t>• No realizar cambios destructivos en el historial sin comprender y aprobar previamente sus consecuencias.</w:t>
      </w:r>
    </w:p>
    <w:p>
      <w:pPr>
        <w:pStyle w:val="Heading3"/>
      </w:pPr>
      <w:r>
        <w:t>7.7 Definición oficial de sprint terminado</w:t>
      </w:r>
    </w:p>
    <w:p>
      <w:pPr/>
      <w:r>
        <w:t>Un sprint solo se considerará terminado cuando cumpla todos los criterios aplicables:</w:t>
        <w:br/>
        <w:br/>
        <w:t>• La funcionalidad definida para el sprint está implementada.</w:t>
        <w:br/>
        <w:t>• El proyecto compila sin errores bloqueantes.</w:t>
        <w:br/>
        <w:t>• La funcionalidad se ha probado en el emulador o entorno disponible.</w:t>
        <w:br/>
        <w:t>• Cuando sea viable, se ha probado también en el dispositivo real.</w:t>
        <w:br/>
        <w:t>• No se han añadido funciones no solicitadas.</w:t>
        <w:br/>
        <w:t>• Se ha creado un commit estable y descriptivo.</w:t>
        <w:br/>
        <w:t>• La documentación se ha actualizado si durante el desarrollo cambió alguna decisión aprobada.</w:t>
        <w:br/>
        <w:t>• Los problemas pendientes están claramente documentados y no se ocultan bajo la consideración de “completado”.</w:t>
      </w:r>
    </w:p>
    <w:p>
      <w:pPr>
        <w:pStyle w:val="Heading2"/>
      </w:pPr>
      <w:r>
        <w:t>8. Animaciones</w:t>
      </w:r>
    </w:p>
    <w:p>
      <w:r>
        <w:t>Solo si aportan información. Cortas, discretas y nunca decorativas.</w:t>
      </w:r>
    </w:p>
    <w:p>
      <w:pPr>
        <w:pStyle w:val="Heading2"/>
      </w:pPr>
      <w:r>
        <w:t>9. Lenguaje del ecosistema</w:t>
      </w:r>
    </w:p>
    <w:p>
      <w:r>
        <w:t>Terminología oficial: BROTHERHOOD OF STEEL, CIVILIAN, OPERATION, INITIALIZING, LOADING PROFILE.</w:t>
      </w:r>
    </w:p>
    <w:p>
      <w:pPr>
        <w:pStyle w:val="Heading2"/>
      </w:pPr>
      <w:r>
        <w:t>10. Recursos compartidos</w:t>
      </w:r>
    </w:p>
    <w:p>
      <w:r>
        <w:t>Biblioteca común del ecosistema:</w:t>
        <w:br/>
        <w:t>/assets</w:t>
        <w:br/>
        <w:t>/logos</w:t>
        <w:br/>
        <w:t>/icons</w:t>
        <w:br/>
        <w:t>/backgrounds</w:t>
        <w:br/>
        <w:t>/fonts</w:t>
        <w:br/>
        <w:t>/sounds</w:t>
        <w:br/>
        <w:t>/animations</w:t>
        <w:br/>
        <w:t>/wireframes</w:t>
        <w:br/>
        <w:t>/mockups</w:t>
        <w:br/>
        <w:br/>
        <w:t>Se documentarán convenciones de nombres, formatos, versiones, recursos generados por IA, recursos externos y criterios de licencia cuando proceda.</w:t>
      </w:r>
    </w:p>
    <w:p>
      <w:pPr>
        <w:pStyle w:val="Heading2"/>
      </w:pPr>
      <w:r>
        <w:t>11. Principios de evolución</w:t>
      </w:r>
    </w:p>
    <w:p>
      <w:r>
        <w:t>• Nunca romper la compatibilidad visual sin una razón justificada.</w:t>
        <w:br/>
        <w:t>• Los cambios del EDL deben beneficiar al conjunto del ecosistema.</w:t>
        <w:br/>
        <w:t>• Las excepciones deberán documentarse.</w:t>
        <w:br/>
        <w:t>• Todo componente nuevo se incorporará primero al EDL y después a los PRD específicos.</w:t>
      </w:r>
    </w:p>
    <w:p>
      <w:pPr>
        <w:pStyle w:val="Heading2"/>
      </w:pPr>
      <w:r>
        <w:t>12. Roadmap</w:t>
      </w:r>
    </w:p>
    <w:p>
      <w:r>
        <w:t>v0.x Definición de principios.</w:t>
        <w:br/>
        <w:t>v1.0 Guía consolidada.</w:t>
        <w:br/>
        <w:t>v2.0 Biblioteca completa de componentes reutilizables.</w:t>
      </w:r>
    </w:p>
    <w:p>
      <w:r>
        <w:br w:type="page"/>
      </w:r>
    </w:p>
    <w:p>
      <w:pPr>
        <w:pStyle w:val="Heading1"/>
      </w:pPr>
      <w:r>
        <w:t>13. Biblioteca de recursos</w:t>
      </w:r>
    </w:p>
    <w:p>
      <w:pPr>
        <w:pStyle w:val="Heading2"/>
      </w:pPr>
      <w:r>
        <w:t>13.1 Estructura del repositorio</w:t>
      </w:r>
    </w:p>
    <w:p>
      <w:r>
        <w:t>/assets</w:t>
        <w:br/>
        <w:t>/logos</w:t>
        <w:br/>
        <w:t>/icons</w:t>
        <w:br/>
        <w:t>/backgrounds</w:t>
        <w:br/>
        <w:t>/fonts</w:t>
        <w:br/>
        <w:t>/animations</w:t>
        <w:br/>
        <w:t>/wireframes</w:t>
        <w:br/>
        <w:t>/mockups</w:t>
        <w:br/>
        <w:t>/references</w:t>
      </w:r>
    </w:p>
    <w:p>
      <w:pPr>
        <w:pStyle w:val="Heading2"/>
      </w:pPr>
      <w:r>
        <w:t>13.2 Convención de nombres</w:t>
      </w:r>
    </w:p>
    <w:p>
      <w:r>
        <w:t>Todos los recursos seguirán una nomenclatura consistente (ej.: ICON_SPOTIFY_v1.svg, WF_CIVILIAN_REFERENCE_v1.png). Se evitarán nombres ambiguos.</w:t>
      </w:r>
    </w:p>
    <w:p>
      <w:pPr>
        <w:pStyle w:val="Heading2"/>
      </w:pPr>
      <w:r>
        <w:t>13.3 Recursos creados por IA</w:t>
      </w:r>
    </w:p>
    <w:p>
      <w:r>
        <w:t>Cada recurso generado por IA documentará la herramienta utilizada, fecha, versión, estado (Conceptual, Aprobado, Implementado o Reemplazado) y, cuando aporte valor, el prompt empleado.</w:t>
      </w:r>
    </w:p>
    <w:p>
      <w:pPr>
        <w:pStyle w:val="Heading2"/>
      </w:pPr>
      <w:r>
        <w:t>13.4 Recursos externos</w:t>
      </w:r>
    </w:p>
    <w:p>
      <w:r>
        <w:t>Todo recurso externo identificará su procedencia y uso previsto para mantener la trazabilidad y facilitar su futura sustitución.</w:t>
      </w:r>
    </w:p>
    <w:p>
      <w:pPr>
        <w:pStyle w:val="Heading2"/>
      </w:pPr>
      <w:r>
        <w:t>13.5 Recursos oficiales del ecosistema</w:t>
      </w:r>
    </w:p>
    <w:p>
      <w:r>
        <w:t>Listado vivo de activos oficiales: logotipo SuriOS (cuando exista), paleta, tipografía, iconografía, fondos institucionales, wireframes aprobados y demás recursos comunes.</w:t>
      </w:r>
    </w:p>
    <w:p>
      <w:pPr>
        <w:pStyle w:val="Heading2"/>
      </w:pPr>
      <w:r>
        <w:t>13.6 Wireframes oficiales</w:t>
      </w:r>
    </w:p>
    <w:p>
      <w:r>
        <w:t>Los wireframes aprobados pasarán a formar parte de la biblioteca oficial del ecosistema. La Figura 4.1 del WFRPD constituye la primera referencia visual oficial.</w:t>
      </w:r>
    </w:p>
    <w:p>
      <w:pPr>
        <w:pStyle w:val="Heading2"/>
      </w:pPr>
      <w:r>
        <w:t>13.7 Recursos pendientes</w:t>
      </w:r>
    </w:p>
    <w:p>
      <w:r>
        <w:t>Pendientes: logotipo oficial de SuriOS, iconografía propia, biblioteca de indicadores, fondo institucional y animaciones oficiales.</w:t>
      </w:r>
    </w:p>
    <w:p>
      <w:pPr>
        <w:pStyle w:val="Heading1"/>
      </w:pPr>
      <w:r>
        <w:t>14. Interacción háptica</w:t>
      </w:r>
    </w:p>
    <w:p>
      <w:r>
        <w:t>No se definirán sonidos oficiales por el momento. Como comportamiento común del ecosistema se priorizará la respuesta háptica (vibración) para confirmar acciones importantes cuando el dispositivo lo permita.</w:t>
      </w:r>
    </w:p>
    <w:p>
      <w:pPr>
        <w:pStyle w:val="Heading1"/>
      </w:pPr>
      <w:r>
        <w:t>Anexo A – Glosario del ecosistema</w:t>
      </w:r>
    </w:p>
    <w:p>
      <w:r>
        <w:t>• EDL: Manual de diseño, arquitectura y desarrollo del ecosistema SuriOS.</w:t>
      </w:r>
    </w:p>
    <w:p>
      <w:r>
        <w:t>• MRPD: Documento maestro de requisitos de PIP-SuriOS.</w:t>
      </w:r>
    </w:p>
    <w:p>
      <w:r>
        <w:t>• WFRPD: Documento maestro de requisitos de SuriOS Watch.</w:t>
      </w:r>
    </w:p>
    <w:p>
      <w:r>
        <w:t>• Sprint: Unidad mínima de desarrollo aceptada.</w:t>
      </w:r>
    </w:p>
    <w:p>
      <w:r>
        <w:t>• Componente: Elemento reutilizable definido en el EDL.</w:t>
      </w:r>
    </w:p>
    <w:p>
      <w:r>
        <w:t>• Activo: Recurso gráfico, documental o háptico reutilizable.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