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rFonts w:ascii="Calibri" w:hAnsi="Calibri"/>
          <w:b/>
          <w:i w:val="0"/>
          <w:color w:val="1F3864"/>
          <w:sz w:val="52"/>
        </w:rPr>
        <w:t>INFORME DE ANÁLISIS DE DATOS</w:t>
      </w:r>
    </w:p>
    <w:p>
      <w:pPr>
        <w:jc w:val="center"/>
      </w:pPr>
      <w:r>
        <w:rPr>
          <w:rFonts w:ascii="Calibri" w:hAnsi="Calibri"/>
          <w:b w:val="0"/>
          <w:i w:val="0"/>
          <w:color w:val="2E75B6"/>
          <w:sz w:val="32"/>
        </w:rPr>
        <w:t>Tareas 1 y 2 — Marketing Analytics para Empresa Fintech</w:t>
      </w:r>
    </w:p>
    <w:p/>
    <w:p>
      <w:pPr>
        <w:jc w:val="center"/>
      </w:pPr>
      <w:r>
        <w:rPr>
          <w:rFonts w:ascii="Calibri" w:hAnsi="Calibri"/>
          <w:b w:val="0"/>
          <w:i w:val="0"/>
          <w:color w:val="2E75B6"/>
          <w:sz w:val="24"/>
        </w:rPr>
        <w:t>━━━━━━━━━━━━━━━━━━━━━━━━━━━━━━━━━━━━━━━━━━━━━━━━━━</w:t>
      </w:r>
    </w:p>
    <w:p/>
    <w:p>
      <w:pPr>
        <w:jc w:val="center"/>
      </w:pPr>
      <w:r>
        <w:rPr>
          <w:rFonts w:ascii="Calibri" w:hAnsi="Calibri"/>
          <w:b w:val="0"/>
          <w:i w:val="0"/>
          <w:color w:val="404040"/>
          <w:sz w:val="28"/>
        </w:rPr>
        <w:t>Trabajo Final de Máster</w:t>
        <w:br/>
        <w:t>Nuclio Digital School</w:t>
      </w:r>
    </w:p>
    <w:p/>
    <w:p>
      <w:pPr>
        <w:jc w:val="center"/>
      </w:pPr>
      <w:r>
        <w:rPr>
          <w:rFonts w:ascii="Calibri" w:hAnsi="Calibri"/>
          <w:b/>
          <w:i w:val="0"/>
          <w:color w:val="404040"/>
          <w:sz w:val="26"/>
        </w:rPr>
        <w:t>Autores: Jesús &amp; Diego</w:t>
      </w:r>
    </w:p>
    <w:p>
      <w:pPr>
        <w:jc w:val="center"/>
      </w:pPr>
      <w:r>
        <w:rPr>
          <w:rFonts w:ascii="Calibri" w:hAnsi="Calibri"/>
          <w:b w:val="0"/>
          <w:i w:val="0"/>
          <w:color w:val="808080"/>
          <w:sz w:val="24"/>
        </w:rPr>
        <w:t>Marzo 2026</w:t>
      </w:r>
    </w:p>
    <w:p>
      <w:r>
        <w:br w:type="page"/>
      </w:r>
    </w:p>
    <w:p>
      <w:pPr>
        <w:pStyle w:val="Heading1"/>
      </w:pPr>
      <w:r>
        <w:rPr>
          <w:rFonts w:ascii="Calibri" w:hAnsi="Calibri"/>
          <w:color w:val="1F3864"/>
        </w:rPr>
        <w:t>Índice</w:t>
      </w:r>
    </w:p>
    <w:p>
      <w:pPr>
        <w:spacing w:after="40"/>
      </w:pPr>
      <w:r>
        <w:rPr>
          <w:rFonts w:ascii="Calibri" w:hAnsi="Calibri"/>
          <w:b/>
          <w:i w:val="0"/>
          <w:color w:val="1F3864"/>
          <w:sz w:val="22"/>
        </w:rPr>
        <w:t>1. Introducción y Contexto</w:t>
      </w:r>
    </w:p>
    <w:p>
      <w:pPr>
        <w:spacing w:after="40"/>
      </w:pPr>
      <w:r>
        <w:rPr>
          <w:rFonts w:ascii="Calibri" w:hAnsi="Calibri"/>
          <w:b/>
          <w:i w:val="0"/>
          <w:color w:val="1F3864"/>
          <w:sz w:val="22"/>
        </w:rPr>
        <w:t>2. Metodología y Herramientas</w:t>
      </w:r>
    </w:p>
    <w:p>
      <w:pPr>
        <w:spacing w:after="40"/>
      </w:pPr>
      <w:r>
        <w:rPr>
          <w:rFonts w:ascii="Calibri" w:hAnsi="Calibri"/>
          <w:b/>
          <w:i w:val="0"/>
          <w:color w:val="1F3864"/>
          <w:sz w:val="22"/>
        </w:rPr>
        <w:t>3. Descripción del Dataset (Sub-tarea 1.1)</w:t>
      </w:r>
    </w:p>
    <w:p>
      <w:pPr>
        <w:spacing w:after="40"/>
      </w:pPr>
      <w:r>
        <w:rPr>
          <w:rFonts w:ascii="Calibri" w:hAnsi="Calibri"/>
          <w:b w:val="0"/>
          <w:i w:val="0"/>
          <w:color w:val="404040"/>
          <w:sz w:val="20"/>
        </w:rPr>
        <w:t xml:space="preserve">   3.1 Clasificación de Variables</w:t>
      </w:r>
    </w:p>
    <w:p>
      <w:pPr>
        <w:spacing w:after="40"/>
      </w:pPr>
      <w:r>
        <w:rPr>
          <w:rFonts w:ascii="Calibri" w:hAnsi="Calibri"/>
          <w:b w:val="0"/>
          <w:i w:val="0"/>
          <w:color w:val="404040"/>
          <w:sz w:val="20"/>
        </w:rPr>
        <w:t xml:space="preserve">   3.2 Calidad Inicial del Dataset</w:t>
      </w:r>
    </w:p>
    <w:p>
      <w:pPr>
        <w:spacing w:after="40"/>
      </w:pPr>
      <w:r>
        <w:rPr>
          <w:rFonts w:ascii="Calibri" w:hAnsi="Calibri"/>
          <w:b/>
          <w:i w:val="0"/>
          <w:color w:val="1F3864"/>
          <w:sz w:val="22"/>
        </w:rPr>
        <w:t>4. Preparación de Datos</w:t>
      </w:r>
    </w:p>
    <w:p>
      <w:pPr>
        <w:spacing w:after="40"/>
      </w:pPr>
      <w:r>
        <w:rPr>
          <w:rFonts w:ascii="Calibri" w:hAnsi="Calibri"/>
          <w:b w:val="0"/>
          <w:i w:val="0"/>
          <w:color w:val="404040"/>
          <w:sz w:val="20"/>
        </w:rPr>
        <w:t xml:space="preserve">   4.1 Función de Limpieza (limpieza_fintech)</w:t>
      </w:r>
    </w:p>
    <w:p>
      <w:pPr>
        <w:spacing w:after="40"/>
      </w:pPr>
      <w:r>
        <w:rPr>
          <w:rFonts w:ascii="Calibri" w:hAnsi="Calibri"/>
          <w:b w:val="0"/>
          <w:i w:val="0"/>
          <w:color w:val="404040"/>
          <w:sz w:val="20"/>
        </w:rPr>
        <w:t xml:space="preserve">   4.2 Ingeniería de Características</w:t>
      </w:r>
    </w:p>
    <w:p>
      <w:pPr>
        <w:spacing w:after="40"/>
      </w:pPr>
      <w:r>
        <w:rPr>
          <w:rFonts w:ascii="Calibri" w:hAnsi="Calibri"/>
          <w:b/>
          <w:i w:val="0"/>
          <w:color w:val="1F3864"/>
          <w:sz w:val="22"/>
        </w:rPr>
        <w:t>5. Estadísticas Descriptivas (Sub-tarea 1.2)</w:t>
      </w:r>
    </w:p>
    <w:p>
      <w:pPr>
        <w:spacing w:after="40"/>
      </w:pPr>
      <w:r>
        <w:rPr>
          <w:rFonts w:ascii="Calibri" w:hAnsi="Calibri"/>
          <w:b w:val="0"/>
          <w:i w:val="0"/>
          <w:color w:val="404040"/>
          <w:sz w:val="20"/>
        </w:rPr>
        <w:t xml:space="preserve">   5.1 Variables Numéricas</w:t>
      </w:r>
    </w:p>
    <w:p>
      <w:pPr>
        <w:spacing w:after="40"/>
      </w:pPr>
      <w:r>
        <w:rPr>
          <w:rFonts w:ascii="Calibri" w:hAnsi="Calibri"/>
          <w:b w:val="0"/>
          <w:i w:val="0"/>
          <w:color w:val="404040"/>
          <w:sz w:val="20"/>
        </w:rPr>
        <w:t xml:space="preserve">   5.2 Variables Categóricas</w:t>
      </w:r>
    </w:p>
    <w:p>
      <w:pPr>
        <w:spacing w:after="40"/>
      </w:pPr>
      <w:r>
        <w:rPr>
          <w:rFonts w:ascii="Calibri" w:hAnsi="Calibri"/>
          <w:b w:val="0"/>
          <w:i w:val="0"/>
          <w:color w:val="404040"/>
          <w:sz w:val="20"/>
        </w:rPr>
        <w:t xml:space="preserve">   5.3 Detección de Outliers</w:t>
      </w:r>
    </w:p>
    <w:p>
      <w:pPr>
        <w:spacing w:after="40"/>
      </w:pPr>
      <w:r>
        <w:rPr>
          <w:rFonts w:ascii="Calibri" w:hAnsi="Calibri"/>
          <w:b w:val="0"/>
          <w:i w:val="0"/>
          <w:color w:val="404040"/>
          <w:sz w:val="20"/>
        </w:rPr>
        <w:t xml:space="preserve">   5.4 Variable Target</w:t>
      </w:r>
    </w:p>
    <w:p>
      <w:pPr>
        <w:spacing w:after="40"/>
      </w:pPr>
      <w:r>
        <w:rPr>
          <w:rFonts w:ascii="Calibri" w:hAnsi="Calibri"/>
          <w:b w:val="0"/>
          <w:i w:val="0"/>
          <w:color w:val="404040"/>
          <w:sz w:val="20"/>
        </w:rPr>
        <w:t xml:space="preserve">   5.5 Correlaciones y Multicolinealidad</w:t>
      </w:r>
    </w:p>
    <w:p>
      <w:pPr>
        <w:spacing w:after="40"/>
      </w:pPr>
      <w:r>
        <w:rPr>
          <w:rFonts w:ascii="Calibri" w:hAnsi="Calibri"/>
          <w:b/>
          <w:i w:val="0"/>
          <w:color w:val="1F3864"/>
          <w:sz w:val="22"/>
        </w:rPr>
        <w:t>6. Relación Demográfica–Suscripción (Sub-tarea 1.3)</w:t>
      </w:r>
    </w:p>
    <w:p>
      <w:pPr>
        <w:spacing w:after="40"/>
      </w:pPr>
      <w:r>
        <w:rPr>
          <w:rFonts w:ascii="Calibri" w:hAnsi="Calibri"/>
          <w:b w:val="0"/>
          <w:i w:val="0"/>
          <w:color w:val="404040"/>
          <w:sz w:val="20"/>
        </w:rPr>
        <w:t xml:space="preserve">   6.1 Edad</w:t>
      </w:r>
    </w:p>
    <w:p>
      <w:pPr>
        <w:spacing w:after="40"/>
      </w:pPr>
      <w:r>
        <w:rPr>
          <w:rFonts w:ascii="Calibri" w:hAnsi="Calibri"/>
          <w:b w:val="0"/>
          <w:i w:val="0"/>
          <w:color w:val="404040"/>
          <w:sz w:val="20"/>
        </w:rPr>
        <w:t xml:space="preserve">   6.2 Tipo de Trabajo</w:t>
      </w:r>
    </w:p>
    <w:p>
      <w:pPr>
        <w:spacing w:after="40"/>
      </w:pPr>
      <w:r>
        <w:rPr>
          <w:rFonts w:ascii="Calibri" w:hAnsi="Calibri"/>
          <w:b w:val="0"/>
          <w:i w:val="0"/>
          <w:color w:val="404040"/>
          <w:sz w:val="20"/>
        </w:rPr>
        <w:t xml:space="preserve">   6.3 Nivel Educativo</w:t>
      </w:r>
    </w:p>
    <w:p>
      <w:pPr>
        <w:spacing w:after="40"/>
      </w:pPr>
      <w:r>
        <w:rPr>
          <w:rFonts w:ascii="Calibri" w:hAnsi="Calibri"/>
          <w:b w:val="0"/>
          <w:i w:val="0"/>
          <w:color w:val="404040"/>
          <w:sz w:val="20"/>
        </w:rPr>
        <w:t xml:space="preserve">   6.4 Estado Civil</w:t>
      </w:r>
    </w:p>
    <w:p>
      <w:pPr>
        <w:spacing w:after="40"/>
      </w:pPr>
      <w:r>
        <w:rPr>
          <w:rFonts w:ascii="Calibri" w:hAnsi="Calibri"/>
          <w:b w:val="0"/>
          <w:i w:val="0"/>
          <w:color w:val="404040"/>
          <w:sz w:val="20"/>
        </w:rPr>
        <w:t xml:space="preserve">   6.5 Crédito en Incumplimiento</w:t>
      </w:r>
    </w:p>
    <w:p>
      <w:pPr>
        <w:spacing w:after="40"/>
      </w:pPr>
      <w:r>
        <w:rPr>
          <w:rFonts w:ascii="Calibri" w:hAnsi="Calibri"/>
          <w:b w:val="0"/>
          <w:i w:val="0"/>
          <w:color w:val="404040"/>
          <w:sz w:val="20"/>
        </w:rPr>
        <w:t xml:space="preserve">   6.6 Hipoteca y Préstamo Personal</w:t>
      </w:r>
    </w:p>
    <w:p>
      <w:pPr>
        <w:spacing w:after="40"/>
      </w:pPr>
      <w:r>
        <w:rPr>
          <w:rFonts w:ascii="Calibri" w:hAnsi="Calibri"/>
          <w:b/>
          <w:i w:val="0"/>
          <w:color w:val="1F3864"/>
          <w:sz w:val="22"/>
        </w:rPr>
        <w:t>7. Impacto de la Campaña (Sub-tarea 1.4)</w:t>
      </w:r>
    </w:p>
    <w:p>
      <w:pPr>
        <w:spacing w:after="40"/>
      </w:pPr>
      <w:r>
        <w:rPr>
          <w:rFonts w:ascii="Calibri" w:hAnsi="Calibri"/>
          <w:b w:val="0"/>
          <w:i w:val="0"/>
          <w:color w:val="404040"/>
          <w:sz w:val="20"/>
        </w:rPr>
        <w:t xml:space="preserve">   7.1 Número de Contactos y Saturación</w:t>
      </w:r>
    </w:p>
    <w:p>
      <w:pPr>
        <w:spacing w:after="40"/>
      </w:pPr>
      <w:r>
        <w:rPr>
          <w:rFonts w:ascii="Calibri" w:hAnsi="Calibri"/>
          <w:b w:val="0"/>
          <w:i w:val="0"/>
          <w:color w:val="404040"/>
          <w:sz w:val="20"/>
        </w:rPr>
        <w:t xml:space="preserve">   7.2 Mes y Día del Contacto</w:t>
      </w:r>
    </w:p>
    <w:p>
      <w:pPr>
        <w:spacing w:after="40"/>
      </w:pPr>
      <w:r>
        <w:rPr>
          <w:rFonts w:ascii="Calibri" w:hAnsi="Calibri"/>
          <w:b w:val="0"/>
          <w:i w:val="0"/>
          <w:color w:val="404040"/>
          <w:sz w:val="20"/>
        </w:rPr>
        <w:t xml:space="preserve">   7.3 Duración de la Llamada</w:t>
      </w:r>
    </w:p>
    <w:p>
      <w:pPr>
        <w:spacing w:after="40"/>
      </w:pPr>
      <w:r>
        <w:rPr>
          <w:rFonts w:ascii="Calibri" w:hAnsi="Calibri"/>
          <w:b w:val="0"/>
          <w:i w:val="0"/>
          <w:color w:val="404040"/>
          <w:sz w:val="20"/>
        </w:rPr>
        <w:t xml:space="preserve">   7.4 Método de Contacto</w:t>
      </w:r>
    </w:p>
    <w:p>
      <w:pPr>
        <w:spacing w:after="40"/>
      </w:pPr>
      <w:r>
        <w:rPr>
          <w:rFonts w:ascii="Calibri" w:hAnsi="Calibri"/>
          <w:b w:val="0"/>
          <w:i w:val="0"/>
          <w:color w:val="404040"/>
          <w:sz w:val="20"/>
        </w:rPr>
        <w:t xml:space="preserve">   7.5 Historial de Campañas Anteriores</w:t>
      </w:r>
    </w:p>
    <w:p>
      <w:pPr>
        <w:spacing w:after="40"/>
      </w:pPr>
      <w:r>
        <w:rPr>
          <w:rFonts w:ascii="Calibri" w:hAnsi="Calibri"/>
          <w:b w:val="0"/>
          <w:i w:val="0"/>
          <w:color w:val="404040"/>
          <w:sz w:val="20"/>
        </w:rPr>
        <w:t xml:space="preserve">   7.6 Variables Macroeconómicas</w:t>
      </w:r>
    </w:p>
    <w:p>
      <w:pPr>
        <w:spacing w:after="40"/>
      </w:pPr>
      <w:r>
        <w:rPr>
          <w:rFonts w:ascii="Calibri" w:hAnsi="Calibri"/>
          <w:b/>
          <w:i w:val="0"/>
          <w:color w:val="1F3864"/>
          <w:sz w:val="22"/>
        </w:rPr>
        <w:t>8. Tasas de Éxito entre Perfiles (Sub-tarea 2.1)</w:t>
      </w:r>
    </w:p>
    <w:p>
      <w:pPr>
        <w:spacing w:after="40"/>
      </w:pPr>
      <w:r>
        <w:rPr>
          <w:rFonts w:ascii="Calibri" w:hAnsi="Calibri"/>
          <w:b/>
          <w:i w:val="0"/>
          <w:color w:val="1F3864"/>
          <w:sz w:val="22"/>
        </w:rPr>
        <w:t>9. Indicadores del Éxito de la Campaña (Sub-tarea 2.2)</w:t>
      </w:r>
    </w:p>
    <w:p>
      <w:pPr>
        <w:spacing w:after="40"/>
      </w:pPr>
      <w:r>
        <w:rPr>
          <w:rFonts w:ascii="Calibri" w:hAnsi="Calibri"/>
          <w:b/>
          <w:i w:val="0"/>
          <w:color w:val="1F3864"/>
          <w:sz w:val="22"/>
        </w:rPr>
        <w:t>10. Resumen de Hallazgos y Ranking de Factores</w:t>
      </w:r>
    </w:p>
    <w:p>
      <w:pPr>
        <w:spacing w:after="40"/>
      </w:pPr>
      <w:r>
        <w:rPr>
          <w:rFonts w:ascii="Calibri" w:hAnsi="Calibri"/>
          <w:b/>
          <w:i w:val="0"/>
          <w:color w:val="1F3864"/>
          <w:sz w:val="22"/>
        </w:rPr>
        <w:t>11. Conclusiones y Recomendaciones Estratégicas</w:t>
      </w:r>
    </w:p>
    <w:p>
      <w:r>
        <w:br w:type="page"/>
      </w:r>
    </w:p>
    <w:p>
      <w:pPr>
        <w:pStyle w:val="Heading1"/>
      </w:pPr>
      <w:r>
        <w:rPr>
          <w:rFonts w:ascii="Calibri" w:hAnsi="Calibri"/>
          <w:color w:val="1F3864"/>
        </w:rPr>
        <w:t>1. Introducción y Contexto</w:t>
      </w:r>
    </w:p>
    <w:p>
      <w:pPr>
        <w:spacing w:after="120"/>
      </w:pPr>
      <w:r>
        <w:rPr>
          <w:rFonts w:ascii="Calibri" w:hAnsi="Calibri"/>
          <w:b w:val="0"/>
          <w:i w:val="0"/>
          <w:color w:val="404040"/>
          <w:sz w:val="22"/>
        </w:rPr>
        <w:t>Este informe documenta los resultados del análisis exhaustivo de datos realizado como parte de las Tareas 1 y 2 del Trabajo Final de Máster en Marketing Analytics para una empresa Fintech.</w:t>
      </w:r>
    </w:p>
    <w:p>
      <w:pPr>
        <w:spacing w:after="120"/>
      </w:pPr>
      <w:r>
        <w:rPr>
          <w:rFonts w:ascii="Calibri" w:hAnsi="Calibri"/>
          <w:b w:val="0"/>
          <w:i w:val="0"/>
          <w:color w:val="404040"/>
          <w:sz w:val="22"/>
        </w:rPr>
        <w:t>El objetivo principal es analizar los datos de campañas de marketing directo, realizadas mediante llamadas telefónicas de un banco portugués entre mayo de 2018 y noviembre de 2020, con el fin de:</w:t>
      </w:r>
    </w:p>
    <w:p>
      <w:pPr>
        <w:pStyle w:val="ListBullet"/>
      </w:pPr>
      <w:r>
        <w:rPr>
          <w:rFonts w:ascii="Calibri" w:hAnsi="Calibri"/>
          <w:b w:val="0"/>
          <w:i w:val="0"/>
          <w:color w:val="404040"/>
          <w:sz w:val="22"/>
        </w:rPr>
        <w:t>Entender la naturaleza, distribución y calidad de los datos de clientes y campañas.</w:t>
      </w:r>
    </w:p>
    <w:p>
      <w:pPr>
        <w:pStyle w:val="ListBullet"/>
      </w:pPr>
      <w:r>
        <w:rPr>
          <w:rFonts w:ascii="Calibri" w:hAnsi="Calibri"/>
          <w:b w:val="0"/>
          <w:i w:val="0"/>
          <w:color w:val="404040"/>
          <w:sz w:val="22"/>
        </w:rPr>
        <w:t>Identificar patrones, tendencias y factores que influyen en la contratación de un depósito a plazo.</w:t>
      </w:r>
    </w:p>
    <w:p>
      <w:pPr>
        <w:pStyle w:val="ListBullet"/>
      </w:pPr>
      <w:r>
        <w:rPr>
          <w:rFonts w:ascii="Calibri" w:hAnsi="Calibri"/>
          <w:b w:val="0"/>
          <w:i w:val="0"/>
          <w:color w:val="404040"/>
          <w:sz w:val="22"/>
        </w:rPr>
        <w:t>Comparar tasas de éxito entre diferentes tipos y perfiles de clientes.</w:t>
      </w:r>
    </w:p>
    <w:p>
      <w:pPr>
        <w:pStyle w:val="ListBullet"/>
      </w:pPr>
      <w:r>
        <w:rPr>
          <w:rFonts w:ascii="Calibri" w:hAnsi="Calibri"/>
          <w:b w:val="0"/>
          <w:i w:val="0"/>
          <w:color w:val="404040"/>
          <w:sz w:val="22"/>
        </w:rPr>
        <w:t>Evaluar posibles indicadores del éxito de la campaña, como la duración de la llamada.</w:t>
      </w:r>
    </w:p>
    <w:p>
      <w:pPr>
        <w:spacing w:after="120"/>
      </w:pPr>
      <w:r>
        <w:rPr>
          <w:rFonts w:ascii="Calibri" w:hAnsi="Calibri"/>
          <w:b w:val="0"/>
          <w:i w:val="0"/>
          <w:color w:val="404040"/>
          <w:sz w:val="22"/>
        </w:rPr>
        <w:t>Este análisis sienta las bases para las tareas posteriores del TFM: modelado predictivo (Tarea 3), dashboard ejecutivo (Tarea 4) y recomendaciones estratégicas (Tarea 5).</w:t>
      </w:r>
    </w:p>
    <w:p>
      <w:pPr>
        <w:pStyle w:val="Heading1"/>
      </w:pPr>
      <w:r>
        <w:rPr>
          <w:rFonts w:ascii="Calibri" w:hAnsi="Calibri"/>
          <w:color w:val="1F3864"/>
        </w:rPr>
        <w:t>2. Metodología y Herramientas</w:t>
      </w:r>
    </w:p>
    <w:p>
      <w:pPr>
        <w:spacing w:after="120"/>
      </w:pPr>
      <w:r>
        <w:rPr>
          <w:rFonts w:ascii="Calibri" w:hAnsi="Calibri"/>
          <w:b w:val="0"/>
          <w:i w:val="0"/>
          <w:color w:val="404040"/>
          <w:sz w:val="22"/>
        </w:rPr>
        <w:t>El análisis se desarrolló íntegramente en Python mediante un notebook de Jupyter (tarea_1_notebook.ipynb), siguiendo un flujo estructurado en tres etapas: exploración, limpieza y análisis bivariable.</w:t>
      </w:r>
    </w:p>
    <w:p>
      <w:pPr>
        <w:spacing w:after="120"/>
      </w:pPr>
      <w:r>
        <w:rPr>
          <w:rFonts w:ascii="Calibri" w:hAnsi="Calibri"/>
          <w:b/>
          <w:i w:val="0"/>
          <w:color w:val="404040"/>
          <w:sz w:val="22"/>
        </w:rPr>
        <w:t>Stack Tecnológico: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Librería</w:t>
            </w:r>
          </w:p>
        </w:tc>
        <w:tc>
          <w:tcPr>
            <w:tcW w:type="dxa" w:w="3135"/>
            <w:shd w:fill="1F3864"/>
          </w:tcPr>
          <w:p>
            <w:pPr>
              <w:jc w:val="center"/>
            </w:pPr>
            <w:r/>
            <w:r>
              <w:rPr>
                <w:rFonts w:ascii="Calibri" w:hAnsi="Calibri"/>
                <w:b/>
                <w:i w:val="0"/>
                <w:color w:val="FFFFFF"/>
                <w:sz w:val="20"/>
              </w:rPr>
              <w:t>Versión</w:t>
            </w:r>
          </w:p>
        </w:tc>
        <w:tc>
          <w:tcPr>
            <w:tcW w:type="dxa" w:w="3135"/>
            <w:shd w:fill="1F3864"/>
          </w:tcPr>
          <w:p>
            <w:pPr>
              <w:jc w:val="center"/>
            </w:pPr>
            <w:r/>
            <w:r>
              <w:rPr>
                <w:rFonts w:ascii="Calibri" w:hAnsi="Calibri"/>
                <w:b/>
                <w:i w:val="0"/>
                <w:color w:val="FFFFFF"/>
                <w:sz w:val="20"/>
              </w:rPr>
              <w:t>Uso en el Proyecto</w:t>
            </w:r>
          </w:p>
        </w:tc>
      </w:tr>
      <w:tr>
        <w:tc>
          <w:tcPr>
            <w:tcW w:type="dxa" w:w="3135"/>
            <w:shd w:fill="F2F2F2"/>
          </w:tcPr>
          <w:p>
            <w:r/>
            <w:r>
              <w:rPr>
                <w:rFonts w:ascii="Calibri" w:hAnsi="Calibri"/>
                <w:b w:val="0"/>
                <w:i w:val="0"/>
                <w:color w:val="404040"/>
                <w:sz w:val="20"/>
              </w:rPr>
              <w:t>pandas</w:t>
            </w:r>
          </w:p>
        </w:tc>
        <w:tc>
          <w:tcPr>
            <w:tcW w:type="dxa" w:w="3135"/>
            <w:shd w:fill="F2F2F2"/>
          </w:tcPr>
          <w:p>
            <w:r/>
            <w:r>
              <w:rPr>
                <w:rFonts w:ascii="Calibri" w:hAnsi="Calibri"/>
                <w:b w:val="0"/>
                <w:i w:val="0"/>
                <w:color w:val="404040"/>
                <w:sz w:val="20"/>
              </w:rPr>
              <w:t>≥2.0</w:t>
            </w:r>
          </w:p>
        </w:tc>
        <w:tc>
          <w:tcPr>
            <w:tcW w:type="dxa" w:w="3135"/>
            <w:shd w:fill="F2F2F2"/>
          </w:tcPr>
          <w:p>
            <w:r/>
            <w:r>
              <w:rPr>
                <w:rFonts w:ascii="Calibri" w:hAnsi="Calibri"/>
                <w:b w:val="0"/>
                <w:i w:val="0"/>
                <w:color w:val="404040"/>
                <w:sz w:val="20"/>
              </w:rPr>
              <w:t>Manipulación y análisis de datos tabulares</w:t>
            </w:r>
          </w:p>
        </w:tc>
      </w:tr>
      <w:tr>
        <w:tc>
          <w:tcPr>
            <w:tcW w:type="dxa" w:w="3135"/>
          </w:tcPr>
          <w:p>
            <w:r/>
            <w:r>
              <w:rPr>
                <w:rFonts w:ascii="Calibri" w:hAnsi="Calibri"/>
                <w:b w:val="0"/>
                <w:i w:val="0"/>
                <w:color w:val="404040"/>
                <w:sz w:val="20"/>
              </w:rPr>
              <w:t>numpy</w:t>
            </w:r>
          </w:p>
        </w:tc>
        <w:tc>
          <w:tcPr>
            <w:tcW w:type="dxa" w:w="3135"/>
          </w:tcPr>
          <w:p>
            <w:r/>
            <w:r>
              <w:rPr>
                <w:rFonts w:ascii="Calibri" w:hAnsi="Calibri"/>
                <w:b w:val="0"/>
                <w:i w:val="0"/>
                <w:color w:val="404040"/>
                <w:sz w:val="20"/>
              </w:rPr>
              <w:t>≥1.24</w:t>
            </w:r>
          </w:p>
        </w:tc>
        <w:tc>
          <w:tcPr>
            <w:tcW w:type="dxa" w:w="3135"/>
          </w:tcPr>
          <w:p>
            <w:r/>
            <w:r>
              <w:rPr>
                <w:rFonts w:ascii="Calibri" w:hAnsi="Calibri"/>
                <w:b w:val="0"/>
                <w:i w:val="0"/>
                <w:color w:val="404040"/>
                <w:sz w:val="20"/>
              </w:rPr>
            </w:r>
            <w:r>
              <w:rPr>
                <w:rFonts w:ascii="Calibri" w:hAnsi="Calibri"/>
                <w:b w:val="0"/>
                <w:sz w:val="20"/>
              </w:rPr>
              <w:t>Operaciones numéricas y arrays (dependencia core de pandas y matplotlib)</w:t>
            </w:r>
          </w:p>
        </w:tc>
      </w:tr>
      <w:tr>
        <w:tc>
          <w:tcPr>
            <w:tcW w:type="dxa" w:w="3135"/>
            <w:shd w:fill="F2F2F2"/>
          </w:tcPr>
          <w:p>
            <w:r/>
            <w:r>
              <w:rPr>
                <w:rFonts w:ascii="Calibri" w:hAnsi="Calibri"/>
                <w:b w:val="0"/>
                <w:i w:val="0"/>
                <w:color w:val="404040"/>
                <w:sz w:val="20"/>
              </w:rPr>
              <w:t>matplotlib</w:t>
            </w:r>
          </w:p>
        </w:tc>
        <w:tc>
          <w:tcPr>
            <w:tcW w:type="dxa" w:w="3135"/>
            <w:shd w:fill="F2F2F2"/>
          </w:tcPr>
          <w:p>
            <w:r/>
            <w:r>
              <w:rPr>
                <w:rFonts w:ascii="Calibri" w:hAnsi="Calibri"/>
                <w:b w:val="0"/>
                <w:i w:val="0"/>
                <w:color w:val="404040"/>
                <w:sz w:val="20"/>
              </w:rPr>
              <w:t>≥3.7</w:t>
            </w:r>
          </w:p>
        </w:tc>
        <w:tc>
          <w:tcPr>
            <w:tcW w:type="dxa" w:w="3135"/>
            <w:shd w:fill="F2F2F2"/>
          </w:tcPr>
          <w:p>
            <w:r/>
            <w:r>
              <w:rPr>
                <w:rFonts w:ascii="Calibri" w:hAnsi="Calibri"/>
                <w:b w:val="0"/>
                <w:i w:val="0"/>
                <w:color w:val="404040"/>
                <w:sz w:val="20"/>
              </w:rPr>
              <w:t>Visualización estática (histogramas, boxplots, barplots)</w:t>
            </w:r>
          </w:p>
        </w:tc>
      </w:tr>
      <w:tr>
        <w:tc>
          <w:tcPr>
            <w:tcW w:type="dxa" w:w="3135"/>
          </w:tcPr>
          <w:p>
            <w:r/>
            <w:r>
              <w:rPr>
                <w:rFonts w:ascii="Calibri" w:hAnsi="Calibri"/>
                <w:b w:val="0"/>
                <w:i w:val="0"/>
                <w:color w:val="404040"/>
                <w:sz w:val="20"/>
              </w:rPr>
              <w:t>seaborn</w:t>
            </w:r>
          </w:p>
        </w:tc>
        <w:tc>
          <w:tcPr>
            <w:tcW w:type="dxa" w:w="3135"/>
          </w:tcPr>
          <w:p>
            <w:r/>
            <w:r>
              <w:rPr>
                <w:rFonts w:ascii="Calibri" w:hAnsi="Calibri"/>
                <w:b w:val="0"/>
                <w:i w:val="0"/>
                <w:color w:val="404040"/>
                <w:sz w:val="20"/>
              </w:rPr>
              <w:t>≥0.12</w:t>
            </w:r>
          </w:p>
        </w:tc>
        <w:tc>
          <w:tcPr>
            <w:tcW w:type="dxa" w:w="3135"/>
          </w:tcPr>
          <w:p>
            <w:r/>
            <w:r>
              <w:rPr>
                <w:rFonts w:ascii="Calibri" w:hAnsi="Calibri"/>
                <w:b w:val="0"/>
                <w:i w:val="0"/>
                <w:color w:val="404040"/>
                <w:sz w:val="20"/>
              </w:rPr>
              <w:t>Visualización estadística avanzada (violinplots, KDE, barplots)</w:t>
            </w:r>
          </w:p>
        </w:tc>
      </w:tr>
      <w:tr>
        <w:tc>
          <w:tcPr>
            <w:tcW w:type="dxa" w:w="3135"/>
          </w:tcPr>
          <w:p>
            <w:r/>
            <w:r>
              <w:rPr>
                <w:rFonts w:ascii="Calibri" w:hAnsi="Calibri"/>
                <w:b w:val="0"/>
                <w:i w:val="0"/>
                <w:color w:val="404040"/>
                <w:sz w:val="20"/>
              </w:rPr>
              <w:t>missingno</w:t>
            </w:r>
          </w:p>
        </w:tc>
        <w:tc>
          <w:tcPr>
            <w:tcW w:type="dxa" w:w="3135"/>
          </w:tcPr>
          <w:p>
            <w:r/>
            <w:r>
              <w:rPr>
                <w:rFonts w:ascii="Calibri" w:hAnsi="Calibri"/>
                <w:b w:val="0"/>
                <w:i w:val="0"/>
                <w:color w:val="404040"/>
                <w:sz w:val="20"/>
              </w:rPr>
              <w:t>≥0.5</w:t>
            </w:r>
          </w:p>
        </w:tc>
        <w:tc>
          <w:tcPr>
            <w:tcW w:type="dxa" w:w="3135"/>
          </w:tcPr>
          <w:p>
            <w:r/>
            <w:r>
              <w:rPr>
                <w:rFonts w:ascii="Calibri" w:hAnsi="Calibri"/>
                <w:b w:val="0"/>
                <w:i w:val="0"/>
                <w:color w:val="404040"/>
                <w:sz w:val="20"/>
              </w:rPr>
            </w:r>
            <w:r>
              <w:rPr>
                <w:rFonts w:ascii="Calibri" w:hAnsi="Calibri"/>
                <w:b w:val="0"/>
                <w:sz w:val="20"/>
              </w:rPr>
              <w:t>Análisis visual de valores nulos — utilizada internamente por la función exploracion_inicial() de la librería personalizada (celda 6)</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Librería Personalizada:</w:t>
      </w:r>
    </w:p>
    <w:p>
      <w:pPr>
        <w:spacing w:after="120"/>
      </w:pPr>
      <w:r>
        <w:rPr>
          <w:rFonts w:ascii="Calibri" w:hAnsi="Calibri"/>
          <w:b w:val="0"/>
          <w:i w:val="0"/>
          <w:color w:val="404040"/>
          <w:sz w:val="22"/>
        </w:rPr>
        <w:t>Se utilizó el módulo funciones_limpieza_y_analisis.py, una librería desarrollada durante el curso que centraliza funciones de exploración y limpieza de datos. Este módulo fue importado en el notebook (celda 2) como mi_biblioteca. De las tres funciones disponibles en la librería, se utilizaron las siguientes en el notebook:</w:t>
      </w:r>
    </w:p>
    <w:p>
      <w:pPr>
        <w:pStyle w:val="ListBullet"/>
      </w:pPr>
      <w:r>
        <w:rPr>
          <w:rFonts w:ascii="Calibri" w:hAnsi="Calibri"/>
          <w:b w:val="0"/>
          <w:i w:val="0"/>
          <w:color w:val="404040"/>
          <w:sz w:val="22"/>
        </w:rPr>
        <w:t>exploracion_inicial(df): Ejecutada en la celda 6 del notebook sobre el DataFrame crudo. Genera un análisis completo que incluye: dimensiones del DataFrame, tipos de datos, head/tail/sample, estadísticas descriptivas (numéricas y categóricas), análisis de nulos con visualizaciones missingno (bar, matrix, heatmap), y conteo de duplicados.</w:t>
      </w:r>
    </w:p>
    <w:p>
      <w:pPr>
        <w:pStyle w:val="ListBullet"/>
      </w:pPr>
      <w:r>
        <w:rPr>
          <w:rFonts w:ascii="Calibri" w:hAnsi="Calibri"/>
          <w:b w:val="0"/>
          <w:i w:val="0"/>
          <w:color w:val="404040"/>
          <w:sz w:val="22"/>
        </w:rPr>
        <w:t>limpieza_fintech(df): Pipeline de limpieza específico para este dataset (detallado en la sección 4). Esta función fue redefinida localmente en la celda 7 del notebook, ampliándola con tres pasos adicionales respecto a la versión de la librería: (7) agrupación de previously_contacted en intervalos temporales (days_since_last_contact_group), (8) eliminación de la columna original previously_contacted, y (9) reordenación de las columnas del DataFrame para mejor visualización.</w:t>
      </w:r>
    </w:p>
    <w:p>
      <w:pPr>
        <w:pStyle w:val="ListBullet"/>
      </w:pPr>
      <w:r>
        <w:rPr>
          <w:rFonts w:ascii="Calibri" w:hAnsi="Calibri"/>
          <w:b w:val="0"/>
          <w:i w:val="0"/>
          <w:color w:val="404040"/>
          <w:sz w:val="22"/>
        </w:rPr>
        <w:t>Nota: La librería también contiene la función leer_archivo(ruta) para lectura universal de archivos CSV/Excel, que no fue utilizada en este análisis; la carga de datos se realizó directamente con pd.read_csv() (celda 4).</w:t>
      </w:r>
    </w:p>
    <w:p>
      <w:pPr>
        <w:spacing w:after="120"/>
      </w:pPr>
      <w:r>
        <w:rPr>
          <w:rFonts w:ascii="Calibri" w:hAnsi="Calibri"/>
          <w:b/>
          <w:i w:val="0"/>
          <w:color w:val="404040"/>
          <w:sz w:val="22"/>
        </w:rPr>
        <w:t>Técnicas de Análisis:</w:t>
      </w:r>
    </w:p>
    <w:p>
      <w:pPr>
        <w:pStyle w:val="ListBullet"/>
      </w:pPr>
      <w:r>
        <w:rPr>
          <w:rFonts w:ascii="Calibri" w:hAnsi="Calibri"/>
          <w:b w:val="0"/>
          <w:i w:val="0"/>
          <w:color w:val="404040"/>
          <w:sz w:val="22"/>
        </w:rPr>
        <w:t>Análisis univariable: Histogramas con KDE (kernel density estimation) y línea de media para variables numéricas; gráficos de barras para distribuciones categóricas; boxplots horizontales para variables macroeconómicas.</w:t>
      </w:r>
    </w:p>
    <w:p>
      <w:pPr>
        <w:pStyle w:val="ListBullet"/>
      </w:pPr>
      <w:r>
        <w:rPr>
          <w:rFonts w:ascii="Calibri" w:hAnsi="Calibri"/>
          <w:b w:val="0"/>
          <w:i w:val="0"/>
          <w:color w:val="404040"/>
          <w:sz w:val="22"/>
        </w:rPr>
        <w:t>Análisis bivariable: Cálculo de tasas de conversión (success_rate) mediante groupby().mean() sobre la variable objetivo codificada numéricamente (subscribed_num). Gráficos de barras por segmento.</w:t>
      </w:r>
    </w:p>
    <w:p>
      <w:pPr>
        <w:pStyle w:val="ListBullet"/>
      </w:pPr>
      <w:r>
        <w:rPr>
          <w:rFonts w:ascii="Calibri" w:hAnsi="Calibri"/>
          <w:b w:val="0"/>
          <w:i w:val="0"/>
          <w:color w:val="404040"/>
          <w:sz w:val="22"/>
        </w:rPr>
        <w:t>Violin plots: Para comparar distribuciones de variables macroeconómicas entre suscriptores y no suscriptores, con cuartiles integrados (inner="quartile").</w:t>
      </w:r>
    </w:p>
    <w:p>
      <w:pPr>
        <w:pStyle w:val="ListBullet"/>
      </w:pPr>
      <w:r>
        <w:rPr>
          <w:rFonts w:ascii="Calibri" w:hAnsi="Calibri"/>
          <w:b w:val="0"/>
          <w:i w:val="0"/>
          <w:color w:val="404040"/>
          <w:sz w:val="22"/>
        </w:rPr>
        <w:t>Tablas de contingencia: Crosstabs normalizados (pd.crosstab con normalize=True) para analizar la distribución conjunta de variables categóricas con la suscripción.</w:t>
      </w:r>
    </w:p>
    <w:p>
      <w:pPr>
        <w:pStyle w:val="Heading1"/>
      </w:pPr>
      <w:r>
        <w:rPr>
          <w:rFonts w:ascii="Calibri" w:hAnsi="Calibri"/>
          <w:color w:val="1F3864"/>
        </w:rPr>
        <w:t>3. Descripción del Dataset (Sub-tarea 1.1)</w:t>
      </w:r>
    </w:p>
    <w:p>
      <w:pPr>
        <w:spacing w:after="120"/>
      </w:pPr>
      <w:r>
        <w:rPr>
          <w:rFonts w:ascii="Calibri" w:hAnsi="Calibri"/>
          <w:b w:val="0"/>
          <w:i w:val="0"/>
          <w:color w:val="404040"/>
          <w:sz w:val="22"/>
        </w:rPr>
        <w:t>El dataset bank-additional-full.csv contiene 41.188 registros y 21 variables, separadas por punto y coma (;). Los registros están ordenados cronológicamente, cubriendo el periodo de mayo de 2018 a noviembre de 2020.</w:t>
      </w:r>
    </w:p>
    <w:p>
      <w:pPr>
        <w:pStyle w:val="Heading2"/>
      </w:pPr>
      <w:r>
        <w:rPr>
          <w:rFonts w:ascii="Calibri" w:hAnsi="Calibri"/>
          <w:color w:val="1F3864"/>
        </w:rPr>
        <w:t>3.1 Clasificación de Variables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Tipo</w:t>
            </w:r>
          </w:p>
        </w:tc>
        <w:tc>
          <w:tcPr>
            <w:tcW w:type="dxa" w:w="3135"/>
            <w:shd w:fill="1F3864"/>
          </w:tcPr>
          <w:p>
            <w:pPr>
              <w:jc w:val="center"/>
            </w:pPr>
            <w:r/>
            <w:r>
              <w:rPr>
                <w:rFonts w:ascii="Calibri" w:hAnsi="Calibri"/>
                <w:b/>
                <w:i w:val="0"/>
                <w:color w:val="FFFFFF"/>
                <w:sz w:val="20"/>
              </w:rPr>
              <w:t>Cantidad</w:t>
            </w:r>
          </w:p>
        </w:tc>
        <w:tc>
          <w:tcPr>
            <w:tcW w:type="dxa" w:w="3135"/>
            <w:shd w:fill="1F3864"/>
          </w:tcPr>
          <w:p>
            <w:pPr>
              <w:jc w:val="center"/>
            </w:pPr>
            <w:r/>
            <w:r>
              <w:rPr>
                <w:rFonts w:ascii="Calibri" w:hAnsi="Calibri"/>
                <w:b/>
                <w:i w:val="0"/>
                <w:color w:val="FFFFFF"/>
                <w:sz w:val="20"/>
              </w:rPr>
              <w:t>Variables</w:t>
            </w:r>
          </w:p>
        </w:tc>
      </w:tr>
      <w:tr>
        <w:tc>
          <w:tcPr>
            <w:tcW w:type="dxa" w:w="3135"/>
            <w:shd w:fill="F2F2F2"/>
          </w:tcPr>
          <w:p>
            <w:r/>
            <w:r>
              <w:rPr>
                <w:rFonts w:ascii="Calibri" w:hAnsi="Calibri"/>
                <w:b w:val="0"/>
                <w:i w:val="0"/>
                <w:color w:val="404040"/>
                <w:sz w:val="20"/>
              </w:rPr>
              <w:t>Numéricas</w:t>
            </w:r>
          </w:p>
        </w:tc>
        <w:tc>
          <w:tcPr>
            <w:tcW w:type="dxa" w:w="3135"/>
            <w:shd w:fill="F2F2F2"/>
          </w:tcPr>
          <w:p>
            <w:r/>
            <w:r>
              <w:rPr>
                <w:rFonts w:ascii="Calibri" w:hAnsi="Calibri"/>
                <w:b w:val="0"/>
                <w:i w:val="0"/>
                <w:color w:val="404040"/>
                <w:sz w:val="20"/>
              </w:rPr>
              <w:t>10</w:t>
            </w:r>
          </w:p>
        </w:tc>
        <w:tc>
          <w:tcPr>
            <w:tcW w:type="dxa" w:w="3135"/>
            <w:shd w:fill="F2F2F2"/>
          </w:tcPr>
          <w:p>
            <w:r/>
            <w:r>
              <w:rPr>
                <w:rFonts w:ascii="Calibri" w:hAnsi="Calibri"/>
                <w:b w:val="0"/>
                <w:i w:val="0"/>
                <w:color w:val="404040"/>
                <w:sz w:val="20"/>
              </w:rPr>
              <w:t>age, duration, campaign, pdays, previous, emp.var.rate, cons.price.idx, cons.conf.idx, euribor3m, nr.employed</w:t>
            </w:r>
          </w:p>
        </w:tc>
      </w:tr>
      <w:tr>
        <w:tc>
          <w:tcPr>
            <w:tcW w:type="dxa" w:w="3135"/>
          </w:tcPr>
          <w:p>
            <w:r/>
            <w:r>
              <w:rPr>
                <w:rFonts w:ascii="Calibri" w:hAnsi="Calibri"/>
                <w:b w:val="0"/>
                <w:i w:val="0"/>
                <w:color w:val="404040"/>
                <w:sz w:val="20"/>
              </w:rPr>
              <w:t>Categóricas</w:t>
            </w:r>
          </w:p>
        </w:tc>
        <w:tc>
          <w:tcPr>
            <w:tcW w:type="dxa" w:w="3135"/>
          </w:tcPr>
          <w:p>
            <w:r/>
            <w:r>
              <w:rPr>
                <w:rFonts w:ascii="Calibri" w:hAnsi="Calibri"/>
                <w:b w:val="0"/>
                <w:i w:val="0"/>
                <w:color w:val="404040"/>
                <w:sz w:val="20"/>
              </w:rPr>
              <w:t>10</w:t>
            </w:r>
          </w:p>
        </w:tc>
        <w:tc>
          <w:tcPr>
            <w:tcW w:type="dxa" w:w="3135"/>
          </w:tcPr>
          <w:p>
            <w:r/>
            <w:r>
              <w:rPr>
                <w:rFonts w:ascii="Calibri" w:hAnsi="Calibri"/>
                <w:b w:val="0"/>
                <w:i w:val="0"/>
                <w:color w:val="404040"/>
                <w:sz w:val="20"/>
              </w:rPr>
              <w:t>job, marital, education, default, housing, loan, contact, month, day_of_week, poutcome</w:t>
            </w:r>
          </w:p>
        </w:tc>
      </w:tr>
      <w:tr>
        <w:tc>
          <w:tcPr>
            <w:tcW w:type="dxa" w:w="3135"/>
            <w:shd w:fill="F2F2F2"/>
          </w:tcPr>
          <w:p>
            <w:r/>
            <w:r>
              <w:rPr>
                <w:rFonts w:ascii="Calibri" w:hAnsi="Calibri"/>
                <w:b w:val="0"/>
                <w:i w:val="0"/>
                <w:color w:val="404040"/>
                <w:sz w:val="20"/>
              </w:rPr>
              <w:t>Target (binaria)</w:t>
            </w:r>
          </w:p>
        </w:tc>
        <w:tc>
          <w:tcPr>
            <w:tcW w:type="dxa" w:w="3135"/>
            <w:shd w:fill="F2F2F2"/>
          </w:tcPr>
          <w:p>
            <w:r/>
            <w:r>
              <w:rPr>
                <w:rFonts w:ascii="Calibri" w:hAnsi="Calibri"/>
                <w:b w:val="0"/>
                <w:i w:val="0"/>
                <w:color w:val="404040"/>
                <w:sz w:val="20"/>
              </w:rPr>
              <w:t>1</w:t>
            </w:r>
          </w:p>
        </w:tc>
        <w:tc>
          <w:tcPr>
            <w:tcW w:type="dxa" w:w="3135"/>
            <w:shd w:fill="F2F2F2"/>
          </w:tcPr>
          <w:p>
            <w:r/>
            <w:r>
              <w:rPr>
                <w:rFonts w:ascii="Calibri" w:hAnsi="Calibri"/>
                <w:b w:val="0"/>
                <w:i w:val="0"/>
                <w:color w:val="404040"/>
                <w:sz w:val="20"/>
              </w:rPr>
              <w:t>y (yes/no)</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Las variables se organizan en cinco bloques temáticos:</w:t>
      </w:r>
    </w:p>
    <w:p>
      <w:pPr>
        <w:pStyle w:val="ListBullet"/>
      </w:pPr>
      <w:r>
        <w:rPr>
          <w:rFonts w:ascii="Calibri" w:hAnsi="Calibri"/>
          <w:b w:val="0"/>
          <w:i w:val="0"/>
          <w:color w:val="404040"/>
          <w:sz w:val="22"/>
        </w:rPr>
        <w:t>Demográficas: edad, tipo de trabajo, estado civil, nivel educativo.</w:t>
      </w:r>
    </w:p>
    <w:p>
      <w:pPr>
        <w:pStyle w:val="ListBullet"/>
      </w:pPr>
      <w:r>
        <w:rPr>
          <w:rFonts w:ascii="Calibri" w:hAnsi="Calibri"/>
          <w:b w:val="0"/>
          <w:i w:val="0"/>
          <w:color w:val="404040"/>
          <w:sz w:val="22"/>
        </w:rPr>
        <w:t>Financieras: crédito en incumplimiento (default), hipoteca, préstamo personal.</w:t>
      </w:r>
    </w:p>
    <w:p>
      <w:pPr>
        <w:pStyle w:val="ListBullet"/>
      </w:pPr>
      <w:r>
        <w:rPr>
          <w:rFonts w:ascii="Calibri" w:hAnsi="Calibri"/>
          <w:b w:val="0"/>
          <w:i w:val="0"/>
          <w:color w:val="404040"/>
          <w:sz w:val="22"/>
        </w:rPr>
        <w:t>Contacto: método de contacto, mes y día del último contacto, duración de la llamada.</w:t>
      </w:r>
    </w:p>
    <w:p>
      <w:pPr>
        <w:pStyle w:val="ListBullet"/>
      </w:pPr>
      <w:r>
        <w:rPr>
          <w:rFonts w:ascii="Calibri" w:hAnsi="Calibri"/>
          <w:b w:val="0"/>
          <w:i w:val="0"/>
          <w:color w:val="404040"/>
          <w:sz w:val="22"/>
        </w:rPr>
        <w:t>Campaña: número de contactos realizados, historial de campañas anteriores, días desde último contacto.</w:t>
      </w:r>
    </w:p>
    <w:p>
      <w:pPr>
        <w:pStyle w:val="ListBullet"/>
      </w:pPr>
      <w:r>
        <w:rPr>
          <w:rFonts w:ascii="Calibri" w:hAnsi="Calibri"/>
          <w:b w:val="0"/>
          <w:i w:val="0"/>
          <w:color w:val="404040"/>
          <w:sz w:val="22"/>
        </w:rPr>
        <w:t>Macroeconómicas: tasa de variación del empleo, Euribor a 3 meses, IPC, confianza del consumidor, total de empleados.</w:t>
      </w:r>
    </w:p>
    <w:p>
      <w:pPr>
        <w:pStyle w:val="Heading2"/>
      </w:pPr>
      <w:r>
        <w:rPr>
          <w:rFonts w:ascii="Calibri" w:hAnsi="Calibri"/>
          <w:color w:val="1F3864"/>
        </w:rPr>
        <w:t>3.2 Calidad Inicial del Dataset</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pPr>
              <w:jc w:val="center"/>
            </w:pPr>
            <w:r/>
            <w:r>
              <w:rPr>
                <w:rFonts w:ascii="Calibri" w:hAnsi="Calibri"/>
                <w:b/>
                <w:i w:val="0"/>
                <w:color w:val="FFFFFF"/>
                <w:sz w:val="20"/>
              </w:rPr>
              <w:t>Métrica</w:t>
            </w:r>
          </w:p>
        </w:tc>
        <w:tc>
          <w:tcPr>
            <w:tcW w:type="dxa" w:w="4703"/>
            <w:shd w:fill="1F3864"/>
          </w:tcPr>
          <w:p>
            <w:pPr>
              <w:jc w:val="center"/>
            </w:pPr>
            <w:r/>
            <w:r>
              <w:rPr>
                <w:rFonts w:ascii="Calibri" w:hAnsi="Calibri"/>
                <w:b/>
                <w:i w:val="0"/>
                <w:color w:val="FFFFFF"/>
                <w:sz w:val="20"/>
              </w:rPr>
              <w:t>Resultado</w:t>
            </w:r>
          </w:p>
        </w:tc>
      </w:tr>
      <w:tr>
        <w:tc>
          <w:tcPr>
            <w:tcW w:type="dxa" w:w="4703"/>
            <w:shd w:fill="F2F2F2"/>
          </w:tcPr>
          <w:p>
            <w:r/>
            <w:r>
              <w:rPr>
                <w:rFonts w:ascii="Calibri" w:hAnsi="Calibri"/>
                <w:b w:val="0"/>
                <w:i w:val="0"/>
                <w:color w:val="404040"/>
                <w:sz w:val="20"/>
              </w:rPr>
              <w:t>Valores nulos (NaN)</w:t>
            </w:r>
          </w:p>
        </w:tc>
        <w:tc>
          <w:tcPr>
            <w:tcW w:type="dxa" w:w="4703"/>
            <w:shd w:fill="F2F2F2"/>
          </w:tcPr>
          <w:p>
            <w:r/>
            <w:r>
              <w:rPr>
                <w:rFonts w:ascii="Calibri" w:hAnsi="Calibri"/>
                <w:b w:val="0"/>
                <w:i w:val="0"/>
                <w:color w:val="404040"/>
                <w:sz w:val="20"/>
              </w:rPr>
              <w:t>0 — No hay datos faltantes en formato NaN</w:t>
            </w:r>
          </w:p>
        </w:tc>
      </w:tr>
      <w:tr>
        <w:tc>
          <w:tcPr>
            <w:tcW w:type="dxa" w:w="4703"/>
          </w:tcPr>
          <w:p>
            <w:r/>
            <w:r>
              <w:rPr>
                <w:rFonts w:ascii="Calibri" w:hAnsi="Calibri"/>
                <w:b w:val="0"/>
                <w:i w:val="0"/>
                <w:color w:val="404040"/>
                <w:sz w:val="20"/>
              </w:rPr>
              <w:t>Filas duplicadas</w:t>
            </w:r>
          </w:p>
        </w:tc>
        <w:tc>
          <w:tcPr>
            <w:tcW w:type="dxa" w:w="4703"/>
          </w:tcPr>
          <w:p>
            <w:r/>
            <w:r>
              <w:rPr>
                <w:rFonts w:ascii="Calibri" w:hAnsi="Calibri"/>
                <w:b w:val="0"/>
                <w:i w:val="0"/>
                <w:color w:val="404040"/>
                <w:sz w:val="20"/>
              </w:rPr>
              <w:t>12 de 41.188 (0.03%)</w:t>
            </w:r>
          </w:p>
        </w:tc>
      </w:tr>
      <w:tr>
        <w:tc>
          <w:tcPr>
            <w:tcW w:type="dxa" w:w="4703"/>
            <w:shd w:fill="F2F2F2"/>
          </w:tcPr>
          <w:p>
            <w:r/>
            <w:r>
              <w:rPr>
                <w:rFonts w:ascii="Calibri" w:hAnsi="Calibri"/>
                <w:b w:val="0"/>
                <w:i w:val="0"/>
                <w:color w:val="404040"/>
                <w:sz w:val="20"/>
              </w:rPr>
              <w:t>Valores "unknown"</w:t>
            </w:r>
          </w:p>
        </w:tc>
        <w:tc>
          <w:tcPr>
            <w:tcW w:type="dxa" w:w="4703"/>
            <w:shd w:fill="F2F2F2"/>
          </w:tcPr>
          <w:p>
            <w:r/>
            <w:r>
              <w:rPr>
                <w:rFonts w:ascii="Calibri" w:hAnsi="Calibri"/>
                <w:b w:val="0"/>
                <w:i w:val="0"/>
                <w:color w:val="404040"/>
                <w:sz w:val="20"/>
              </w:rPr>
              <w:t>Presentes en 6 variables: job, marital, education, default, housing, loan</w:t>
            </w:r>
          </w:p>
        </w:tc>
      </w:tr>
      <w:tr>
        <w:tc>
          <w:tcPr>
            <w:tcW w:type="dxa" w:w="4703"/>
          </w:tcPr>
          <w:p>
            <w:r/>
            <w:r>
              <w:rPr>
                <w:rFonts w:ascii="Calibri" w:hAnsi="Calibri"/>
                <w:b w:val="0"/>
                <w:i w:val="0"/>
                <w:color w:val="404040"/>
                <w:sz w:val="20"/>
              </w:rPr>
              <w:t>Códigos especiales</w:t>
            </w:r>
          </w:p>
        </w:tc>
        <w:tc>
          <w:tcPr>
            <w:tcW w:type="dxa" w:w="4703"/>
          </w:tcPr>
          <w:p>
            <w:r/>
            <w:r>
              <w:rPr>
                <w:rFonts w:ascii="Calibri" w:hAnsi="Calibri"/>
                <w:b w:val="0"/>
                <w:i w:val="0"/>
                <w:color w:val="404040"/>
                <w:sz w:val="20"/>
              </w:rPr>
              <w:t>pdays=999 en el 96.3% de registros — indica "nunca contactado previamente"</w:t>
            </w:r>
          </w:p>
        </w:tc>
      </w:tr>
      <w:tr>
        <w:tc>
          <w:tcPr>
            <w:tcW w:type="dxa" w:w="4703"/>
            <w:shd w:fill="F2F2F2"/>
          </w:tcPr>
          <w:p>
            <w:r/>
            <w:r>
              <w:rPr>
                <w:rFonts w:ascii="Calibri" w:hAnsi="Calibri"/>
                <w:b w:val="0"/>
                <w:i w:val="0"/>
                <w:color w:val="404040"/>
                <w:sz w:val="20"/>
              </w:rPr>
              <w:t>Registros con duration=0</w:t>
            </w:r>
          </w:p>
        </w:tc>
        <w:tc>
          <w:tcPr>
            <w:tcW w:type="dxa" w:w="4703"/>
            <w:shd w:fill="F2F2F2"/>
          </w:tcPr>
          <w:p>
            <w:r/>
            <w:r>
              <w:rPr>
                <w:rFonts w:ascii="Calibri" w:hAnsi="Calibri"/>
                <w:b w:val="0"/>
                <w:i w:val="0"/>
                <w:color w:val="404040"/>
                <w:sz w:val="20"/>
              </w:rPr>
              <w:t>4 registros — llamadas no conectadas</w:t>
            </w:r>
          </w:p>
        </w:tc>
      </w:tr>
    </w:tbl>
    <w:p>
      <w:pPr>
        <w:spacing w:after="120"/>
      </w:pPr>
      <w:r>
        <w:rPr>
          <w:rFonts w:ascii="Calibri" w:hAnsi="Calibri"/>
          <w:b w:val="0"/>
          <w:i/>
          <w:color w:val="404040"/>
          <w:sz w:val="22"/>
        </w:rPr>
        <w:t>La exploración inicial se realizó mediante la función exploracion_inicial() de la librería personalizada, que generó un análisis detallado de dimensiones, tipos, distribuciones, nulos y duplicados.</w:t>
      </w:r>
    </w:p>
    <w:p>
      <w:pPr>
        <w:pStyle w:val="Heading1"/>
      </w:pPr>
      <w:r>
        <w:rPr>
          <w:rFonts w:ascii="Calibri" w:hAnsi="Calibri"/>
          <w:color w:val="1F3864"/>
        </w:rPr>
        <w:t>4. Preparación de Datos</w:t>
      </w:r>
    </w:p>
    <w:p>
      <w:pPr>
        <w:pStyle w:val="Heading2"/>
      </w:pPr>
      <w:r>
        <w:rPr>
          <w:rFonts w:ascii="Calibri" w:hAnsi="Calibri"/>
          <w:color w:val="1F3864"/>
        </w:rPr>
        <w:t>4.1 Función de Limpieza (limpieza_fintech)</w:t>
      </w:r>
    </w:p>
    <w:p>
      <w:pPr>
        <w:spacing w:after="120"/>
      </w:pPr>
      <w:r>
        <w:rPr>
          <w:rFonts w:ascii="Calibri" w:hAnsi="Calibri"/>
          <w:b w:val="0"/>
          <w:i w:val="0"/>
          <w:color w:val="404040"/>
          <w:sz w:val="22"/>
        </w:rPr>
        <w:t>Se implementó la función limpieza_fintech() para ejecutar un pipeline de limpieza reproducible sobre el dataset original. El resultado es un DataFrame limpio de 40.186 registros. Los pasos ejecutados son:</w:t>
      </w:r>
    </w:p>
    <w:p>
      <w:pPr>
        <w:spacing w:after="120"/>
      </w:pPr>
      <w:r>
        <w:rPr>
          <w:rFonts w:ascii="Calibri" w:hAnsi="Calibri"/>
          <w:b/>
          <w:i w:val="0"/>
          <w:color w:val="404040"/>
          <w:sz w:val="22"/>
        </w:rPr>
        <w:t>Paso 1 — Renombrado técnico de columnas:</w:t>
      </w:r>
    </w:p>
    <w:p>
      <w:pPr>
        <w:spacing w:after="120"/>
      </w:pPr>
      <w:r>
        <w:rPr>
          <w:rFonts w:ascii="Calibri" w:hAnsi="Calibri"/>
          <w:b w:val="0"/>
          <w:i w:val="0"/>
          <w:color w:val="404040"/>
          <w:sz w:val="22"/>
        </w:rPr>
        <w:t>Se tradujeron y clarificaron los nombres de las 19 columnas principales para mejorar la legibilidad del análisis. Ejemplos: job → job_type, y → subscribed, duration → call_duration, euribor3m → euribor_3m_rate, nr.employed → total_employment.</w:t>
      </w:r>
    </w:p>
    <w:p>
      <w:pPr>
        <w:spacing w:after="120"/>
      </w:pPr>
      <w:r>
        <w:rPr>
          <w:rFonts w:ascii="Calibri" w:hAnsi="Calibri"/>
          <w:b/>
          <w:i w:val="0"/>
          <w:color w:val="404040"/>
          <w:sz w:val="22"/>
        </w:rPr>
        <w:t>Paso 2 — Tratamiento de unknowns:</w:t>
      </w:r>
    </w:p>
    <w:p>
      <w:pPr>
        <w:spacing w:after="120"/>
      </w:pPr>
      <w:r>
        <w:rPr>
          <w:rFonts w:ascii="Calibri" w:hAnsi="Calibri"/>
          <w:b w:val="0"/>
          <w:i w:val="0"/>
          <w:color w:val="404040"/>
          <w:sz w:val="22"/>
        </w:rPr>
        <w:t>Los valores "unknown" en las variables job_type, marital_status, education_level y credit_default fueron reemplazados por "undisclosed" para mantener la semántica sin eliminar registros.</w:t>
      </w:r>
    </w:p>
    <w:p>
      <w:pPr>
        <w:spacing w:after="120"/>
      </w:pPr>
      <w:r>
        <w:rPr>
          <w:rFonts w:ascii="Calibri" w:hAnsi="Calibri"/>
          <w:b/>
          <w:i w:val="0"/>
          <w:color w:val="404040"/>
          <w:sz w:val="22"/>
        </w:rPr>
        <w:t>Paso 3 — Eliminación de duplicados:</w:t>
      </w:r>
    </w:p>
    <w:p>
      <w:pPr>
        <w:spacing w:after="120"/>
      </w:pPr>
      <w:r>
        <w:rPr>
          <w:rFonts w:ascii="Calibri" w:hAnsi="Calibri"/>
          <w:b w:val="0"/>
          <w:i w:val="0"/>
          <w:color w:val="404040"/>
          <w:sz w:val="22"/>
        </w:rPr>
        <w:t>Se eliminaron 12 filas duplicadas exactas (excluyendo la variable objetivo), reduciendo el dataset de 41.188 a 41.176 registros.</w:t>
      </w:r>
    </w:p>
    <w:p>
      <w:pPr>
        <w:spacing w:after="120"/>
      </w:pPr>
      <w:r>
        <w:rPr>
          <w:rFonts w:ascii="Calibri" w:hAnsi="Calibri"/>
          <w:b/>
          <w:i w:val="0"/>
          <w:color w:val="404040"/>
          <w:sz w:val="22"/>
        </w:rPr>
        <w:t>Paso 4 — Categorización de duración:</w:t>
      </w:r>
    </w:p>
    <w:p>
      <w:pPr>
        <w:spacing w:after="120"/>
      </w:pPr>
      <w:r>
        <w:rPr>
          <w:rFonts w:ascii="Calibri" w:hAnsi="Calibri"/>
          <w:b w:val="0"/>
          <w:i w:val="0"/>
          <w:color w:val="404040"/>
          <w:sz w:val="22"/>
        </w:rPr>
        <w:t>La variable call_duration fue agrupada en 6 intervalos significativos mediante pd.cut(right=True):</w:t>
      </w:r>
    </w:p>
    <w:tbl>
      <w:tblPr>
        <w:tblStyle w:val="TableGrid"/>
        <w:tblW w:type="auto" w:w="0"/>
        <w:jc w:val="center"/>
        <w:tblLook w:firstColumn="1" w:firstRow="1" w:lastColumn="0" w:lastRow="0" w:noHBand="0" w:noVBand="1" w:val="04A0"/>
      </w:tblPr>
      <w:tblGrid>
        <w:gridCol w:w="4703"/>
        <w:gridCol w:w="4703"/>
      </w:tblGrid>
      <w:tr>
        <w:tc>
          <w:tcPr>
            <w:tcW w:type="dxa" w:w="4703"/>
            <w:shd w:fill="1F3864"/>
          </w:tcPr>
          <w:p>
            <w:pPr>
              <w:jc w:val="center"/>
            </w:pPr>
            <w:r/>
            <w:r>
              <w:rPr>
                <w:rFonts w:ascii="Calibri" w:hAnsi="Calibri"/>
                <w:b/>
                <w:i w:val="0"/>
                <w:color w:val="FFFFFF"/>
                <w:sz w:val="20"/>
              </w:rPr>
              <w:t>Grupo</w:t>
            </w:r>
          </w:p>
        </w:tc>
        <w:tc>
          <w:tcPr>
            <w:tcW w:type="dxa" w:w="4703"/>
            <w:shd w:fill="1F3864"/>
          </w:tcPr>
          <w:p>
            <w:pPr>
              <w:jc w:val="center"/>
            </w:pPr>
            <w:r/>
            <w:r>
              <w:rPr>
                <w:rFonts w:ascii="Calibri" w:hAnsi="Calibri"/>
                <w:b/>
                <w:i w:val="0"/>
                <w:color w:val="FFFFFF"/>
                <w:sz w:val="20"/>
              </w:rPr>
              <w:t>Rango (segundos)</w:t>
            </w:r>
          </w:p>
        </w:tc>
      </w:tr>
      <w:tr>
        <w:tc>
          <w:tcPr>
            <w:tcW w:type="dxa" w:w="4703"/>
            <w:shd w:fill="F2F2F2"/>
          </w:tcPr>
          <w:p>
            <w:r/>
            <w:r>
              <w:rPr>
                <w:rFonts w:ascii="Calibri" w:hAnsi="Calibri"/>
                <w:b w:val="0"/>
                <w:i w:val="0"/>
                <w:color w:val="404040"/>
                <w:sz w:val="20"/>
              </w:rPr>
              <w:t>0-1 min</w:t>
            </w:r>
          </w:p>
        </w:tc>
        <w:tc>
          <w:tcPr>
            <w:tcW w:type="dxa" w:w="4703"/>
            <w:shd w:fill="F2F2F2"/>
          </w:tcPr>
          <w:p>
            <w:r/>
            <w:r>
              <w:rPr>
                <w:rFonts w:ascii="Calibri" w:hAnsi="Calibri"/>
                <w:b w:val="0"/>
                <w:i w:val="0"/>
                <w:color w:val="404040"/>
                <w:sz w:val="20"/>
              </w:rPr>
              <w:t>(-1, 60]</w:t>
            </w:r>
          </w:p>
        </w:tc>
      </w:tr>
      <w:tr>
        <w:tc>
          <w:tcPr>
            <w:tcW w:type="dxa" w:w="4703"/>
          </w:tcPr>
          <w:p>
            <w:r/>
            <w:r>
              <w:rPr>
                <w:rFonts w:ascii="Calibri" w:hAnsi="Calibri"/>
                <w:b w:val="0"/>
                <w:i w:val="0"/>
                <w:color w:val="404040"/>
                <w:sz w:val="20"/>
              </w:rPr>
              <w:t>2-3 min</w:t>
            </w:r>
          </w:p>
        </w:tc>
        <w:tc>
          <w:tcPr>
            <w:tcW w:type="dxa" w:w="4703"/>
          </w:tcPr>
          <w:p>
            <w:r/>
            <w:r>
              <w:rPr>
                <w:rFonts w:ascii="Calibri" w:hAnsi="Calibri"/>
                <w:b w:val="0"/>
                <w:i w:val="0"/>
                <w:color w:val="404040"/>
                <w:sz w:val="20"/>
              </w:rPr>
              <w:t>(60, 180]</w:t>
            </w:r>
          </w:p>
        </w:tc>
      </w:tr>
      <w:tr>
        <w:tc>
          <w:tcPr>
            <w:tcW w:type="dxa" w:w="4703"/>
            <w:shd w:fill="F2F2F2"/>
          </w:tcPr>
          <w:p>
            <w:r/>
            <w:r>
              <w:rPr>
                <w:rFonts w:ascii="Calibri" w:hAnsi="Calibri"/>
                <w:b w:val="0"/>
                <w:i w:val="0"/>
                <w:color w:val="404040"/>
                <w:sz w:val="20"/>
              </w:rPr>
              <w:t>4-5 min</w:t>
            </w:r>
          </w:p>
        </w:tc>
        <w:tc>
          <w:tcPr>
            <w:tcW w:type="dxa" w:w="4703"/>
            <w:shd w:fill="F2F2F2"/>
          </w:tcPr>
          <w:p>
            <w:r/>
            <w:r>
              <w:rPr>
                <w:rFonts w:ascii="Calibri" w:hAnsi="Calibri"/>
                <w:b w:val="0"/>
                <w:i w:val="0"/>
                <w:color w:val="404040"/>
                <w:sz w:val="20"/>
              </w:rPr>
              <w:t>(180, 300]</w:t>
            </w:r>
          </w:p>
        </w:tc>
      </w:tr>
      <w:tr>
        <w:tc>
          <w:tcPr>
            <w:tcW w:type="dxa" w:w="4703"/>
          </w:tcPr>
          <w:p>
            <w:r/>
            <w:r>
              <w:rPr>
                <w:rFonts w:ascii="Calibri" w:hAnsi="Calibri"/>
                <w:b w:val="0"/>
                <w:i w:val="0"/>
                <w:color w:val="404040"/>
                <w:sz w:val="20"/>
              </w:rPr>
              <w:t>6-10 min</w:t>
            </w:r>
          </w:p>
        </w:tc>
        <w:tc>
          <w:tcPr>
            <w:tcW w:type="dxa" w:w="4703"/>
          </w:tcPr>
          <w:p>
            <w:r/>
            <w:r>
              <w:rPr>
                <w:rFonts w:ascii="Calibri" w:hAnsi="Calibri"/>
                <w:b w:val="0"/>
                <w:i w:val="0"/>
                <w:color w:val="404040"/>
                <w:sz w:val="20"/>
              </w:rPr>
              <w:t>(300, 600]</w:t>
            </w:r>
          </w:p>
        </w:tc>
      </w:tr>
      <w:tr>
        <w:tc>
          <w:tcPr>
            <w:tcW w:type="dxa" w:w="4703"/>
            <w:shd w:fill="F2F2F2"/>
          </w:tcPr>
          <w:p>
            <w:r/>
            <w:r>
              <w:rPr>
                <w:rFonts w:ascii="Calibri" w:hAnsi="Calibri"/>
                <w:b w:val="0"/>
                <w:i w:val="0"/>
                <w:color w:val="404040"/>
                <w:sz w:val="20"/>
              </w:rPr>
              <w:t>11-20 min</w:t>
            </w:r>
          </w:p>
        </w:tc>
        <w:tc>
          <w:tcPr>
            <w:tcW w:type="dxa" w:w="4703"/>
            <w:shd w:fill="F2F2F2"/>
          </w:tcPr>
          <w:p>
            <w:r/>
            <w:r>
              <w:rPr>
                <w:rFonts w:ascii="Calibri" w:hAnsi="Calibri"/>
                <w:b w:val="0"/>
                <w:i w:val="0"/>
                <w:color w:val="404040"/>
                <w:sz w:val="20"/>
              </w:rPr>
              <w:t>(600, 1200]</w:t>
            </w:r>
          </w:p>
        </w:tc>
      </w:tr>
      <w:tr>
        <w:tc>
          <w:tcPr>
            <w:tcW w:type="dxa" w:w="4703"/>
          </w:tcPr>
          <w:p>
            <w:r/>
            <w:r>
              <w:rPr>
                <w:rFonts w:ascii="Calibri" w:hAnsi="Calibri"/>
                <w:b w:val="0"/>
                <w:i w:val="0"/>
                <w:color w:val="404040"/>
                <w:sz w:val="20"/>
              </w:rPr>
              <w:t>21+ min</w:t>
            </w:r>
          </w:p>
        </w:tc>
        <w:tc>
          <w:tcPr>
            <w:tcW w:type="dxa" w:w="4703"/>
          </w:tcPr>
          <w:p>
            <w:r/>
            <w:r>
              <w:rPr>
                <w:rFonts w:ascii="Calibri" w:hAnsi="Calibri"/>
                <w:b w:val="0"/>
                <w:i w:val="0"/>
                <w:color w:val="404040"/>
                <w:sz w:val="20"/>
              </w:rPr>
              <w:t>(1200, 10000]</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Paso 5 — Variables categóricas ordenadas:</w:t>
      </w:r>
    </w:p>
    <w:p>
      <w:pPr>
        <w:spacing w:after="120"/>
      </w:pPr>
      <w:r>
        <w:rPr>
          <w:rFonts w:ascii="Calibri" w:hAnsi="Calibri"/>
          <w:b w:val="0"/>
          <w:i w:val="0"/>
          <w:color w:val="404040"/>
          <w:sz w:val="22"/>
        </w:rPr>
        <w:t>Los meses (mar→dec) y días de la semana (mon→fri) fueron convertidos a pd.Categorical con orden cronológico para asegurar la secuencia correcta en gráficos y análisis.</w:t>
      </w:r>
    </w:p>
    <w:p>
      <w:pPr>
        <w:spacing w:after="120"/>
      </w:pPr>
      <w:r>
        <w:rPr>
          <w:rFonts w:ascii="Calibri" w:hAnsi="Calibri"/>
          <w:b/>
          <w:i w:val="0"/>
          <w:color w:val="404040"/>
          <w:sz w:val="22"/>
        </w:rPr>
        <w:t>Paso 6 — Eliminación de unknowns residuales:</w:t>
      </w:r>
    </w:p>
    <w:p>
      <w:pPr>
        <w:spacing w:after="120"/>
      </w:pPr>
      <w:r>
        <w:rPr>
          <w:rFonts w:ascii="Calibri" w:hAnsi="Calibri"/>
          <w:b w:val="0"/>
          <w:i w:val="0"/>
          <w:color w:val="404040"/>
          <w:sz w:val="22"/>
        </w:rPr>
        <w:t>Se eliminaron 990 registros con valores "unknown" en has_housing_loan y has_personal_loan, reduciendo el dataset de 41.176 a 40.186 registros. Estas variables no fueron renombradas a "undisclosed" porque la proporción era muy baja y la decisión del equipo fue eliminarlas para garantizar datos limpios en el análisis financiero.</w:t>
      </w:r>
    </w:p>
    <w:p>
      <w:pPr>
        <w:pStyle w:val="Heading2"/>
      </w:pPr>
      <w:r>
        <w:rPr>
          <w:rFonts w:ascii="Calibri" w:hAnsi="Calibri"/>
          <w:color w:val="1F3864"/>
        </w:rPr>
        <w:t>4.2 Ingeniería de Características</w:t>
      </w:r>
    </w:p>
    <w:p>
      <w:pPr>
        <w:spacing w:after="120"/>
      </w:pPr>
      <w:r>
        <w:rPr>
          <w:rFonts w:ascii="Calibri" w:hAnsi="Calibri"/>
          <w:b w:val="0"/>
          <w:i w:val="0"/>
          <w:color w:val="404040"/>
          <w:sz w:val="22"/>
        </w:rPr>
        <w:t>Se crearon dos variables derivadas a partir de las existentes:</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Variable</w:t>
            </w:r>
          </w:p>
        </w:tc>
        <w:tc>
          <w:tcPr>
            <w:tcW w:type="dxa" w:w="3135"/>
            <w:shd w:fill="1F3864"/>
          </w:tcPr>
          <w:p>
            <w:pPr>
              <w:jc w:val="center"/>
            </w:pPr>
            <w:r/>
            <w:r>
              <w:rPr>
                <w:rFonts w:ascii="Calibri" w:hAnsi="Calibri"/>
                <w:b/>
                <w:i w:val="0"/>
                <w:color w:val="FFFFFF"/>
                <w:sz w:val="20"/>
              </w:rPr>
              <w:t>Lógica</w:t>
            </w:r>
          </w:p>
        </w:tc>
        <w:tc>
          <w:tcPr>
            <w:tcW w:type="dxa" w:w="3135"/>
            <w:shd w:fill="1F3864"/>
          </w:tcPr>
          <w:p>
            <w:pPr>
              <w:jc w:val="center"/>
            </w:pPr>
            <w:r/>
            <w:r>
              <w:rPr>
                <w:rFonts w:ascii="Calibri" w:hAnsi="Calibri"/>
                <w:b/>
                <w:i w:val="0"/>
                <w:color w:val="FFFFFF"/>
                <w:sz w:val="20"/>
              </w:rPr>
              <w:t>Propósito</w:t>
            </w:r>
          </w:p>
        </w:tc>
      </w:tr>
      <w:tr>
        <w:tc>
          <w:tcPr>
            <w:tcW w:type="dxa" w:w="3135"/>
            <w:shd w:fill="F2F2F2"/>
          </w:tcPr>
          <w:p>
            <w:r/>
            <w:r>
              <w:rPr>
                <w:rFonts w:ascii="Calibri" w:hAnsi="Calibri"/>
                <w:b w:val="0"/>
                <w:i w:val="0"/>
                <w:color w:val="404040"/>
                <w:sz w:val="20"/>
              </w:rPr>
              <w:t>is_new_campaign_client</w:t>
            </w:r>
          </w:p>
        </w:tc>
        <w:tc>
          <w:tcPr>
            <w:tcW w:type="dxa" w:w="3135"/>
            <w:shd w:fill="F2F2F2"/>
          </w:tcPr>
          <w:p>
            <w:r/>
            <w:r>
              <w:rPr>
                <w:rFonts w:ascii="Calibri" w:hAnsi="Calibri"/>
                <w:b w:val="0"/>
                <w:i w:val="0"/>
                <w:color w:val="404040"/>
                <w:sz w:val="20"/>
              </w:rPr>
              <w:t>previous_contacts == 0 → "yes", else "no"</w:t>
            </w:r>
          </w:p>
        </w:tc>
        <w:tc>
          <w:tcPr>
            <w:tcW w:type="dxa" w:w="3135"/>
            <w:shd w:fill="F2F2F2"/>
          </w:tcPr>
          <w:p>
            <w:r/>
            <w:r>
              <w:rPr>
                <w:rFonts w:ascii="Calibri" w:hAnsi="Calibri"/>
                <w:b w:val="0"/>
                <w:i w:val="0"/>
                <w:color w:val="404040"/>
                <w:sz w:val="20"/>
              </w:rPr>
              <w:t>Identificar clientes que participan por primera vez en una campaña</w:t>
            </w:r>
          </w:p>
        </w:tc>
      </w:tr>
      <w:tr>
        <w:tc>
          <w:tcPr>
            <w:tcW w:type="dxa" w:w="3135"/>
          </w:tcPr>
          <w:p>
            <w:r/>
            <w:r>
              <w:rPr>
                <w:rFonts w:ascii="Calibri" w:hAnsi="Calibri"/>
                <w:b w:val="0"/>
                <w:i w:val="0"/>
                <w:color w:val="404040"/>
                <w:sz w:val="20"/>
              </w:rPr>
              <w:t>high_contact_attempts</w:t>
            </w:r>
          </w:p>
        </w:tc>
        <w:tc>
          <w:tcPr>
            <w:tcW w:type="dxa" w:w="3135"/>
          </w:tcPr>
          <w:p>
            <w:r/>
            <w:r>
              <w:rPr>
                <w:rFonts w:ascii="Calibri" w:hAnsi="Calibri"/>
                <w:b w:val="0"/>
                <w:i w:val="0"/>
                <w:color w:val="404040"/>
                <w:sz w:val="20"/>
              </w:rPr>
              <w:t>contact_attempts &gt; 3 → "yes", else "no"</w:t>
            </w:r>
          </w:p>
        </w:tc>
        <w:tc>
          <w:tcPr>
            <w:tcW w:type="dxa" w:w="3135"/>
          </w:tcPr>
          <w:p>
            <w:r/>
            <w:r>
              <w:rPr>
                <w:rFonts w:ascii="Calibri" w:hAnsi="Calibri"/>
                <w:b w:val="0"/>
                <w:i w:val="0"/>
                <w:color w:val="404040"/>
                <w:sz w:val="20"/>
              </w:rPr>
              <w:t>Detectar saturación del cliente (umbral en 3 contactos)</w:t>
            </w:r>
          </w:p>
        </w:tc>
      </w:tr>
    </w:tbl>
    <w:p>
      <w:pPr>
        <w:spacing w:after="120"/>
      </w:pPr>
      <w:r>
        <w:rPr>
          <w:rFonts w:ascii="Calibri" w:hAnsi="Calibri"/>
          <w:b w:val="0"/>
          <w:i w:val="0"/>
          <w:color w:val="404040"/>
          <w:sz w:val="22"/>
        </w:rPr>
      </w:r>
    </w:p>
    <w:p>
      <w:pPr>
        <w:spacing w:after="120"/>
      </w:pPr>
      <w:r>
        <w:rPr>
          <w:rFonts w:ascii="Calibri" w:hAnsi="Calibri"/>
          <w:b w:val="0"/>
          <w:i w:val="0"/>
          <w:color w:val="404040"/>
          <w:sz w:val="22"/>
        </w:rPr>
        <w:t>Finalmente, la columna subscribed fue reordenada al final del DataFrame para facilitar la lectura y el análisis posterior.</w:t>
      </w:r>
    </w:p>
    <w:p>
      <w:r>
        <w:br w:type="page"/>
      </w:r>
    </w:p>
    <w:p>
      <w:pPr>
        <w:pStyle w:val="Heading1"/>
      </w:pPr>
      <w:r>
        <w:rPr>
          <w:rFonts w:ascii="Calibri" w:hAnsi="Calibri"/>
          <w:color w:val="1F3864"/>
        </w:rPr>
        <w:t>5. Estadísticas Descriptivas (Sub-tarea 1.2)</w:t>
      </w:r>
    </w:p>
    <w:p>
      <w:pPr>
        <w:spacing w:after="120"/>
      </w:pPr>
      <w:r>
        <w:rPr>
          <w:rFonts w:ascii="Calibri" w:hAnsi="Calibri"/>
          <w:b w:val="0"/>
          <w:i w:val="0"/>
          <w:color w:val="404040"/>
          <w:sz w:val="22"/>
        </w:rPr>
        <w:t>Esta sección presenta las características básicas de los datos del dataset limpio (40.186 registros), analizadas mediante histogramas con KDE, boxplots y gráficos de distribución.</w:t>
      </w:r>
    </w:p>
    <w:p>
      <w:pPr>
        <w:pStyle w:val="Heading2"/>
      </w:pPr>
      <w:r>
        <w:rPr>
          <w:rFonts w:ascii="Calibri" w:hAnsi="Calibri"/>
          <w:color w:val="1F3864"/>
        </w:rPr>
        <w:t>5.1 Variables Numéricas</w:t>
      </w:r>
    </w:p>
    <w:p>
      <w:pPr>
        <w:spacing w:after="120"/>
      </w:pPr>
      <w:r>
        <w:rPr>
          <w:rFonts w:ascii="Calibri" w:hAnsi="Calibri"/>
          <w:b w:val="0"/>
          <w:i w:val="0"/>
          <w:color w:val="404040"/>
          <w:sz w:val="22"/>
        </w:rPr>
        <w:t>Se generaron histogramas con estimación de densidad por kernel (KDE) y líneas de media para age y call_duration (celda 11 del notebook), y boxplots horizontales para las 5 variables macroeconómicas (celda 13). Los histogramas incluyen líneas de media (rojo) y la estimación de densidad KDE superpuesta.</w:t>
      </w:r>
    </w:p>
    <w:p>
      <w:pPr>
        <w:jc w:val="center"/>
      </w:pPr>
      <w:r>
        <w:drawing>
          <wp:inline xmlns:a="http://schemas.openxmlformats.org/drawingml/2006/main" xmlns:pic="http://schemas.openxmlformats.org/drawingml/2006/picture">
            <wp:extent cx="5486400" cy="2031707"/>
            <wp:docPr id="17" name="Picture 17"/>
            <wp:cNvGraphicFramePr>
              <a:graphicFrameLocks noChangeAspect="1"/>
            </wp:cNvGraphicFramePr>
            <a:graphic>
              <a:graphicData uri="http://schemas.openxmlformats.org/drawingml/2006/picture">
                <pic:pic>
                  <pic:nvPicPr>
                    <pic:cNvPr id="0" name="fig01_histogramas_numericas.png"/>
                    <pic:cNvPicPr/>
                  </pic:nvPicPr>
                  <pic:blipFill>
                    <a:blip r:embed="rId25"/>
                    <a:stretch>
                      <a:fillRect/>
                    </a:stretch>
                  </pic:blipFill>
                  <pic:spPr>
                    <a:xfrm>
                      <a:off x="0" y="0"/>
                      <a:ext cx="5486400" cy="2031707"/>
                    </a:xfrm>
                    <a:prstGeom prst="rect"/>
                  </pic:spPr>
                </pic:pic>
              </a:graphicData>
            </a:graphic>
          </wp:inline>
        </w:drawing>
      </w:r>
    </w:p>
    <w:p>
      <w:pPr>
        <w:jc w:val="center"/>
      </w:pPr>
      <w:r>
        <w:rPr>
          <w:rFonts w:ascii="Calibri" w:hAnsi="Calibri"/>
          <w:i/>
          <w:color w:val="808080"/>
          <w:sz w:val="18"/>
        </w:rPr>
        <w:t>Figura 1. Distribución de edad y duración de llamada con estimación de densidad (KDE), líneas de media y mediana. Generados en la celda 11 del notebook.</w:t>
      </w:r>
    </w:p>
    <w:p>
      <w:pPr>
        <w:spacing w:before="120" w:after="120"/>
      </w:pPr>
    </w:p>
    <w:tbl>
      <w:tblPr>
        <w:tblStyle w:val="TableGrid"/>
        <w:tblW w:type="auto" w:w="0"/>
        <w:jc w:val="center"/>
        <w:tblLook w:firstColumn="1" w:firstRow="1" w:lastColumn="0" w:lastRow="0" w:noHBand="0" w:noVBand="1" w:val="04A0"/>
      </w:tblPr>
      <w:tblGrid>
        <w:gridCol w:w="1568"/>
        <w:gridCol w:w="1568"/>
        <w:gridCol w:w="1568"/>
        <w:gridCol w:w="1568"/>
        <w:gridCol w:w="1568"/>
        <w:gridCol w:w="1568"/>
      </w:tblGrid>
      <w:tr>
        <w:tc>
          <w:tcPr>
            <w:tcW w:type="dxa" w:w="1568"/>
            <w:shd w:fill="1F3864"/>
          </w:tcPr>
          <w:p>
            <w:pPr>
              <w:jc w:val="center"/>
            </w:pPr>
            <w:r/>
            <w:r>
              <w:rPr>
                <w:rFonts w:ascii="Calibri" w:hAnsi="Calibri"/>
                <w:b/>
                <w:i w:val="0"/>
                <w:color w:val="FFFFFF"/>
                <w:sz w:val="20"/>
              </w:rPr>
              <w:t>Variable</w:t>
            </w:r>
          </w:p>
        </w:tc>
        <w:tc>
          <w:tcPr>
            <w:tcW w:type="dxa" w:w="1568"/>
            <w:shd w:fill="1F3864"/>
          </w:tcPr>
          <w:p>
            <w:pPr>
              <w:jc w:val="center"/>
            </w:pPr>
            <w:r/>
            <w:r>
              <w:rPr>
                <w:rFonts w:ascii="Calibri" w:hAnsi="Calibri"/>
                <w:b/>
                <w:i w:val="0"/>
                <w:color w:val="FFFFFF"/>
                <w:sz w:val="20"/>
              </w:rPr>
              <w:t>Media</w:t>
            </w:r>
          </w:p>
        </w:tc>
        <w:tc>
          <w:tcPr>
            <w:tcW w:type="dxa" w:w="1568"/>
            <w:shd w:fill="1F3864"/>
          </w:tcPr>
          <w:p>
            <w:pPr>
              <w:jc w:val="center"/>
            </w:pPr>
            <w:r/>
            <w:r>
              <w:rPr>
                <w:rFonts w:ascii="Calibri" w:hAnsi="Calibri"/>
                <w:b/>
                <w:i w:val="0"/>
                <w:color w:val="FFFFFF"/>
                <w:sz w:val="20"/>
              </w:rPr>
              <w:t>Mediana</w:t>
            </w:r>
          </w:p>
        </w:tc>
        <w:tc>
          <w:tcPr>
            <w:tcW w:type="dxa" w:w="1568"/>
            <w:shd w:fill="1F3864"/>
          </w:tcPr>
          <w:p>
            <w:pPr>
              <w:jc w:val="center"/>
            </w:pPr>
            <w:r/>
            <w:r>
              <w:rPr>
                <w:rFonts w:ascii="Calibri" w:hAnsi="Calibri"/>
                <w:b/>
                <w:i w:val="0"/>
                <w:color w:val="FFFFFF"/>
                <w:sz w:val="20"/>
              </w:rPr>
              <w:t>Desv.Est</w:t>
            </w:r>
          </w:p>
        </w:tc>
        <w:tc>
          <w:tcPr>
            <w:tcW w:type="dxa" w:w="1568"/>
            <w:shd w:fill="1F3864"/>
          </w:tcPr>
          <w:p>
            <w:pPr>
              <w:jc w:val="center"/>
            </w:pPr>
            <w:r/>
            <w:r>
              <w:rPr>
                <w:rFonts w:ascii="Calibri" w:hAnsi="Calibri"/>
                <w:b/>
                <w:i w:val="0"/>
                <w:color w:val="FFFFFF"/>
                <w:sz w:val="20"/>
              </w:rPr>
              <w:t>Mín</w:t>
            </w:r>
          </w:p>
        </w:tc>
        <w:tc>
          <w:tcPr>
            <w:tcW w:type="dxa" w:w="1568"/>
            <w:shd w:fill="1F3864"/>
          </w:tcPr>
          <w:p>
            <w:pPr>
              <w:jc w:val="center"/>
            </w:pPr>
            <w:r/>
            <w:r>
              <w:rPr>
                <w:rFonts w:ascii="Calibri" w:hAnsi="Calibri"/>
                <w:b/>
                <w:i w:val="0"/>
                <w:color w:val="FFFFFF"/>
                <w:sz w:val="20"/>
              </w:rPr>
              <w:t>Máx</w:t>
            </w:r>
          </w:p>
        </w:tc>
      </w:tr>
      <w:tr>
        <w:tc>
          <w:tcPr>
            <w:tcW w:type="dxa" w:w="1568"/>
            <w:shd w:fill="F2F2F2"/>
          </w:tcPr>
          <w:p>
            <w:r/>
            <w:r>
              <w:rPr>
                <w:rFonts w:ascii="Calibri" w:hAnsi="Calibri"/>
                <w:b w:val="0"/>
                <w:i w:val="0"/>
                <w:color w:val="404040"/>
                <w:sz w:val="20"/>
              </w:rPr>
              <w:t>age</w:t>
            </w:r>
          </w:p>
        </w:tc>
        <w:tc>
          <w:tcPr>
            <w:tcW w:type="dxa" w:w="1568"/>
            <w:shd w:fill="F2F2F2"/>
          </w:tcPr>
          <w:p>
            <w:r/>
            <w:r>
              <w:rPr>
                <w:rFonts w:ascii="Calibri" w:hAnsi="Calibri"/>
                <w:b w:val="0"/>
                <w:i w:val="0"/>
                <w:color w:val="404040"/>
                <w:sz w:val="20"/>
              </w:rPr>
              <w:t>40.03</w:t>
            </w:r>
          </w:p>
        </w:tc>
        <w:tc>
          <w:tcPr>
            <w:tcW w:type="dxa" w:w="1568"/>
            <w:shd w:fill="F2F2F2"/>
          </w:tcPr>
          <w:p>
            <w:r/>
            <w:r>
              <w:rPr>
                <w:rFonts w:ascii="Calibri" w:hAnsi="Calibri"/>
                <w:b w:val="0"/>
                <w:i w:val="0"/>
                <w:color w:val="404040"/>
                <w:sz w:val="20"/>
              </w:rPr>
              <w:t>38.0</w:t>
            </w:r>
          </w:p>
        </w:tc>
        <w:tc>
          <w:tcPr>
            <w:tcW w:type="dxa" w:w="1568"/>
            <w:shd w:fill="F2F2F2"/>
          </w:tcPr>
          <w:p>
            <w:r/>
            <w:r>
              <w:rPr>
                <w:rFonts w:ascii="Calibri" w:hAnsi="Calibri"/>
                <w:b w:val="0"/>
                <w:i w:val="0"/>
                <w:color w:val="404040"/>
                <w:sz w:val="20"/>
              </w:rPr>
              <w:t>10.42</w:t>
            </w:r>
          </w:p>
        </w:tc>
        <w:tc>
          <w:tcPr>
            <w:tcW w:type="dxa" w:w="1568"/>
            <w:shd w:fill="F2F2F2"/>
          </w:tcPr>
          <w:p>
            <w:r/>
            <w:r>
              <w:rPr>
                <w:rFonts w:ascii="Calibri" w:hAnsi="Calibri"/>
                <w:b w:val="0"/>
                <w:i w:val="0"/>
                <w:color w:val="404040"/>
                <w:sz w:val="20"/>
              </w:rPr>
              <w:t>17</w:t>
            </w:r>
          </w:p>
        </w:tc>
        <w:tc>
          <w:tcPr>
            <w:tcW w:type="dxa" w:w="1568"/>
            <w:shd w:fill="F2F2F2"/>
          </w:tcPr>
          <w:p>
            <w:r/>
            <w:r>
              <w:rPr>
                <w:rFonts w:ascii="Calibri" w:hAnsi="Calibri"/>
                <w:b w:val="0"/>
                <w:i w:val="0"/>
                <w:color w:val="404040"/>
                <w:sz w:val="20"/>
              </w:rPr>
              <w:t>98</w:t>
            </w:r>
          </w:p>
        </w:tc>
      </w:tr>
      <w:tr>
        <w:tc>
          <w:tcPr>
            <w:tcW w:type="dxa" w:w="1568"/>
          </w:tcPr>
          <w:p>
            <w:r/>
            <w:r>
              <w:rPr>
                <w:rFonts w:ascii="Calibri" w:hAnsi="Calibri"/>
                <w:b w:val="0"/>
                <w:i w:val="0"/>
                <w:color w:val="404040"/>
                <w:sz w:val="20"/>
              </w:rPr>
              <w:t>call_duration</w:t>
            </w:r>
          </w:p>
        </w:tc>
        <w:tc>
          <w:tcPr>
            <w:tcW w:type="dxa" w:w="1568"/>
          </w:tcPr>
          <w:p>
            <w:r/>
            <w:r>
              <w:rPr>
                <w:rFonts w:ascii="Calibri" w:hAnsi="Calibri"/>
                <w:b w:val="0"/>
                <w:i w:val="0"/>
                <w:color w:val="404040"/>
                <w:sz w:val="20"/>
              </w:rPr>
              <w:t>258.52</w:t>
            </w:r>
          </w:p>
        </w:tc>
        <w:tc>
          <w:tcPr>
            <w:tcW w:type="dxa" w:w="1568"/>
          </w:tcPr>
          <w:p>
            <w:r/>
            <w:r>
              <w:rPr>
                <w:rFonts w:ascii="Calibri" w:hAnsi="Calibri"/>
                <w:b w:val="0"/>
                <w:i w:val="0"/>
                <w:color w:val="404040"/>
                <w:sz w:val="20"/>
              </w:rPr>
              <w:t>180.0</w:t>
            </w:r>
          </w:p>
        </w:tc>
        <w:tc>
          <w:tcPr>
            <w:tcW w:type="dxa" w:w="1568"/>
          </w:tcPr>
          <w:p>
            <w:r/>
            <w:r>
              <w:rPr>
                <w:rFonts w:ascii="Calibri" w:hAnsi="Calibri"/>
                <w:b w:val="0"/>
                <w:i w:val="0"/>
                <w:color w:val="404040"/>
                <w:sz w:val="20"/>
              </w:rPr>
              <w:t>259.41</w:t>
            </w:r>
          </w:p>
        </w:tc>
        <w:tc>
          <w:tcPr>
            <w:tcW w:type="dxa" w:w="1568"/>
          </w:tcPr>
          <w:p>
            <w:r/>
            <w:r>
              <w:rPr>
                <w:rFonts w:ascii="Calibri" w:hAnsi="Calibri"/>
                <w:b w:val="0"/>
                <w:i w:val="0"/>
                <w:color w:val="404040"/>
                <w:sz w:val="20"/>
              </w:rPr>
              <w:t>0</w:t>
            </w:r>
          </w:p>
        </w:tc>
        <w:tc>
          <w:tcPr>
            <w:tcW w:type="dxa" w:w="1568"/>
          </w:tcPr>
          <w:p>
            <w:r/>
            <w:r>
              <w:rPr>
                <w:rFonts w:ascii="Calibri" w:hAnsi="Calibri"/>
                <w:b w:val="0"/>
                <w:i w:val="0"/>
                <w:color w:val="404040"/>
                <w:sz w:val="20"/>
              </w:rPr>
              <w:t>4.918</w:t>
            </w:r>
          </w:p>
        </w:tc>
      </w:tr>
      <w:tr>
        <w:tc>
          <w:tcPr>
            <w:tcW w:type="dxa" w:w="1568"/>
            <w:shd w:fill="F2F2F2"/>
          </w:tcPr>
          <w:p>
            <w:r/>
            <w:r>
              <w:rPr>
                <w:rFonts w:ascii="Calibri" w:hAnsi="Calibri"/>
                <w:b w:val="0"/>
                <w:i w:val="0"/>
                <w:color w:val="404040"/>
                <w:sz w:val="20"/>
              </w:rPr>
              <w:t>contact_attempts</w:t>
            </w:r>
          </w:p>
        </w:tc>
        <w:tc>
          <w:tcPr>
            <w:tcW w:type="dxa" w:w="1568"/>
            <w:shd w:fill="F2F2F2"/>
          </w:tcPr>
          <w:p>
            <w:r/>
            <w:r>
              <w:rPr>
                <w:rFonts w:ascii="Calibri" w:hAnsi="Calibri"/>
                <w:b w:val="0"/>
                <w:i w:val="0"/>
                <w:color w:val="404040"/>
                <w:sz w:val="20"/>
              </w:rPr>
              <w:t>2.57</w:t>
            </w:r>
          </w:p>
        </w:tc>
        <w:tc>
          <w:tcPr>
            <w:tcW w:type="dxa" w:w="1568"/>
            <w:shd w:fill="F2F2F2"/>
          </w:tcPr>
          <w:p>
            <w:r/>
            <w:r>
              <w:rPr>
                <w:rFonts w:ascii="Calibri" w:hAnsi="Calibri"/>
                <w:b w:val="0"/>
                <w:i w:val="0"/>
                <w:color w:val="404040"/>
                <w:sz w:val="20"/>
              </w:rPr>
              <w:t>2.0</w:t>
            </w:r>
          </w:p>
        </w:tc>
        <w:tc>
          <w:tcPr>
            <w:tcW w:type="dxa" w:w="1568"/>
            <w:shd w:fill="F2F2F2"/>
          </w:tcPr>
          <w:p>
            <w:r/>
            <w:r>
              <w:rPr>
                <w:rFonts w:ascii="Calibri" w:hAnsi="Calibri"/>
                <w:b w:val="0"/>
                <w:i w:val="0"/>
                <w:color w:val="404040"/>
                <w:sz w:val="20"/>
              </w:rPr>
              <w:t>2.77</w:t>
            </w:r>
          </w:p>
        </w:tc>
        <w:tc>
          <w:tcPr>
            <w:tcW w:type="dxa" w:w="1568"/>
            <w:shd w:fill="F2F2F2"/>
          </w:tcPr>
          <w:p>
            <w:r/>
            <w:r>
              <w:rPr>
                <w:rFonts w:ascii="Calibri" w:hAnsi="Calibri"/>
                <w:b w:val="0"/>
                <w:i w:val="0"/>
                <w:color w:val="404040"/>
                <w:sz w:val="20"/>
              </w:rPr>
              <w:t>1</w:t>
            </w:r>
          </w:p>
        </w:tc>
        <w:tc>
          <w:tcPr>
            <w:tcW w:type="dxa" w:w="1568"/>
            <w:shd w:fill="F2F2F2"/>
          </w:tcPr>
          <w:p>
            <w:r/>
            <w:r>
              <w:rPr>
                <w:rFonts w:ascii="Calibri" w:hAnsi="Calibri"/>
                <w:b w:val="0"/>
                <w:i w:val="0"/>
                <w:color w:val="404040"/>
                <w:sz w:val="20"/>
              </w:rPr>
              <w:t>43</w:t>
            </w:r>
          </w:p>
        </w:tc>
      </w:tr>
      <w:tr>
        <w:tc>
          <w:tcPr>
            <w:tcW w:type="dxa" w:w="1568"/>
          </w:tcPr>
          <w:p>
            <w:r/>
            <w:r>
              <w:rPr>
                <w:rFonts w:ascii="Calibri" w:hAnsi="Calibri"/>
                <w:b w:val="0"/>
                <w:i w:val="0"/>
                <w:color w:val="404040"/>
                <w:sz w:val="20"/>
              </w:rPr>
              <w:t>previously_contacted</w:t>
            </w:r>
          </w:p>
        </w:tc>
        <w:tc>
          <w:tcPr>
            <w:tcW w:type="dxa" w:w="1568"/>
          </w:tcPr>
          <w:p>
            <w:r/>
            <w:r>
              <w:rPr>
                <w:rFonts w:ascii="Calibri" w:hAnsi="Calibri"/>
                <w:b w:val="0"/>
                <w:i w:val="0"/>
                <w:color w:val="404040"/>
                <w:sz w:val="20"/>
              </w:rPr>
              <w:t>962.40</w:t>
            </w:r>
          </w:p>
        </w:tc>
        <w:tc>
          <w:tcPr>
            <w:tcW w:type="dxa" w:w="1568"/>
          </w:tcPr>
          <w:p>
            <w:r/>
            <w:r>
              <w:rPr>
                <w:rFonts w:ascii="Calibri" w:hAnsi="Calibri"/>
                <w:b w:val="0"/>
                <w:i w:val="0"/>
                <w:color w:val="404040"/>
                <w:sz w:val="20"/>
              </w:rPr>
              <w:t>999.0</w:t>
            </w:r>
          </w:p>
        </w:tc>
        <w:tc>
          <w:tcPr>
            <w:tcW w:type="dxa" w:w="1568"/>
          </w:tcPr>
          <w:p>
            <w:r/>
            <w:r>
              <w:rPr>
                <w:rFonts w:ascii="Calibri" w:hAnsi="Calibri"/>
                <w:b w:val="0"/>
                <w:i w:val="0"/>
                <w:color w:val="404040"/>
                <w:sz w:val="20"/>
              </w:rPr>
              <w:t>187.08</w:t>
            </w:r>
          </w:p>
        </w:tc>
        <w:tc>
          <w:tcPr>
            <w:tcW w:type="dxa" w:w="1568"/>
          </w:tcPr>
          <w:p>
            <w:r/>
            <w:r>
              <w:rPr>
                <w:rFonts w:ascii="Calibri" w:hAnsi="Calibri"/>
                <w:b w:val="0"/>
                <w:i w:val="0"/>
                <w:color w:val="404040"/>
                <w:sz w:val="20"/>
              </w:rPr>
              <w:t>0</w:t>
            </w:r>
          </w:p>
        </w:tc>
        <w:tc>
          <w:tcPr>
            <w:tcW w:type="dxa" w:w="1568"/>
          </w:tcPr>
          <w:p>
            <w:r/>
            <w:r>
              <w:rPr>
                <w:rFonts w:ascii="Calibri" w:hAnsi="Calibri"/>
                <w:b w:val="0"/>
                <w:i w:val="0"/>
                <w:color w:val="404040"/>
                <w:sz w:val="20"/>
              </w:rPr>
              <w:t>999</w:t>
            </w:r>
          </w:p>
        </w:tc>
      </w:tr>
      <w:tr>
        <w:tc>
          <w:tcPr>
            <w:tcW w:type="dxa" w:w="1568"/>
            <w:shd w:fill="F2F2F2"/>
          </w:tcPr>
          <w:p>
            <w:r/>
            <w:r>
              <w:rPr>
                <w:rFonts w:ascii="Calibri" w:hAnsi="Calibri"/>
                <w:b w:val="0"/>
                <w:i w:val="0"/>
                <w:color w:val="404040"/>
                <w:sz w:val="20"/>
              </w:rPr>
              <w:t>previous_contacts</w:t>
            </w:r>
          </w:p>
        </w:tc>
        <w:tc>
          <w:tcPr>
            <w:tcW w:type="dxa" w:w="1568"/>
            <w:shd w:fill="F2F2F2"/>
          </w:tcPr>
          <w:p>
            <w:r/>
            <w:r>
              <w:rPr>
                <w:rFonts w:ascii="Calibri" w:hAnsi="Calibri"/>
                <w:b w:val="0"/>
                <w:i w:val="0"/>
                <w:color w:val="404040"/>
                <w:sz w:val="20"/>
              </w:rPr>
              <w:t>0.17</w:t>
            </w:r>
          </w:p>
        </w:tc>
        <w:tc>
          <w:tcPr>
            <w:tcW w:type="dxa" w:w="1568"/>
            <w:shd w:fill="F2F2F2"/>
          </w:tcPr>
          <w:p>
            <w:r/>
            <w:r>
              <w:rPr>
                <w:rFonts w:ascii="Calibri" w:hAnsi="Calibri"/>
                <w:b w:val="0"/>
                <w:i w:val="0"/>
                <w:color w:val="404040"/>
                <w:sz w:val="20"/>
              </w:rPr>
              <w:t>0.0</w:t>
            </w:r>
          </w:p>
        </w:tc>
        <w:tc>
          <w:tcPr>
            <w:tcW w:type="dxa" w:w="1568"/>
            <w:shd w:fill="F2F2F2"/>
          </w:tcPr>
          <w:p>
            <w:r/>
            <w:r>
              <w:rPr>
                <w:rFonts w:ascii="Calibri" w:hAnsi="Calibri"/>
                <w:b w:val="0"/>
                <w:i w:val="0"/>
                <w:color w:val="404040"/>
                <w:sz w:val="20"/>
              </w:rPr>
              <w:t>0.49</w:t>
            </w:r>
          </w:p>
        </w:tc>
        <w:tc>
          <w:tcPr>
            <w:tcW w:type="dxa" w:w="1568"/>
            <w:shd w:fill="F2F2F2"/>
          </w:tcPr>
          <w:p>
            <w:r/>
            <w:r>
              <w:rPr>
                <w:rFonts w:ascii="Calibri" w:hAnsi="Calibri"/>
                <w:b w:val="0"/>
                <w:i w:val="0"/>
                <w:color w:val="404040"/>
                <w:sz w:val="20"/>
              </w:rPr>
              <w:t>0</w:t>
            </w:r>
          </w:p>
        </w:tc>
        <w:tc>
          <w:tcPr>
            <w:tcW w:type="dxa" w:w="1568"/>
            <w:shd w:fill="F2F2F2"/>
          </w:tcPr>
          <w:p>
            <w:r/>
            <w:r>
              <w:rPr>
                <w:rFonts w:ascii="Calibri" w:hAnsi="Calibri"/>
                <w:b w:val="0"/>
                <w:i w:val="0"/>
                <w:color w:val="404040"/>
                <w:sz w:val="20"/>
              </w:rPr>
              <w:t>7</w:t>
            </w:r>
          </w:p>
        </w:tc>
      </w:tr>
      <w:tr>
        <w:tc>
          <w:tcPr>
            <w:tcW w:type="dxa" w:w="1568"/>
          </w:tcPr>
          <w:p>
            <w:r/>
            <w:r>
              <w:rPr>
                <w:rFonts w:ascii="Calibri" w:hAnsi="Calibri"/>
                <w:b w:val="0"/>
                <w:i w:val="0"/>
                <w:color w:val="404040"/>
                <w:sz w:val="20"/>
              </w:rPr>
              <w:t>employment_variation_rate</w:t>
            </w:r>
          </w:p>
        </w:tc>
        <w:tc>
          <w:tcPr>
            <w:tcW w:type="dxa" w:w="1568"/>
          </w:tcPr>
          <w:p>
            <w:r/>
            <w:r>
              <w:rPr>
                <w:rFonts w:ascii="Calibri" w:hAnsi="Calibri"/>
                <w:b w:val="0"/>
                <w:i w:val="0"/>
                <w:color w:val="404040"/>
                <w:sz w:val="20"/>
              </w:rPr>
              <w:t>0.08</w:t>
            </w:r>
          </w:p>
        </w:tc>
        <w:tc>
          <w:tcPr>
            <w:tcW w:type="dxa" w:w="1568"/>
          </w:tcPr>
          <w:p>
            <w:r/>
            <w:r>
              <w:rPr>
                <w:rFonts w:ascii="Calibri" w:hAnsi="Calibri"/>
                <w:b w:val="0"/>
                <w:i w:val="0"/>
                <w:color w:val="404040"/>
                <w:sz w:val="20"/>
              </w:rPr>
              <w:t>1.1</w:t>
            </w:r>
          </w:p>
        </w:tc>
        <w:tc>
          <w:tcPr>
            <w:tcW w:type="dxa" w:w="1568"/>
          </w:tcPr>
          <w:p>
            <w:r/>
            <w:r>
              <w:rPr>
                <w:rFonts w:ascii="Calibri" w:hAnsi="Calibri"/>
                <w:b w:val="0"/>
                <w:i w:val="0"/>
                <w:color w:val="404040"/>
                <w:sz w:val="20"/>
              </w:rPr>
              <w:t>1.57</w:t>
            </w:r>
          </w:p>
        </w:tc>
        <w:tc>
          <w:tcPr>
            <w:tcW w:type="dxa" w:w="1568"/>
          </w:tcPr>
          <w:p>
            <w:r/>
            <w:r>
              <w:rPr>
                <w:rFonts w:ascii="Calibri" w:hAnsi="Calibri"/>
                <w:b w:val="0"/>
                <w:i w:val="0"/>
                <w:color w:val="404040"/>
                <w:sz w:val="20"/>
              </w:rPr>
              <w:t>-3.4</w:t>
            </w:r>
          </w:p>
        </w:tc>
        <w:tc>
          <w:tcPr>
            <w:tcW w:type="dxa" w:w="1568"/>
          </w:tcPr>
          <w:p>
            <w:r/>
            <w:r>
              <w:rPr>
                <w:rFonts w:ascii="Calibri" w:hAnsi="Calibri"/>
                <w:b w:val="0"/>
                <w:i w:val="0"/>
                <w:color w:val="404040"/>
                <w:sz w:val="20"/>
              </w:rPr>
              <w:t>1.4</w:t>
            </w:r>
          </w:p>
        </w:tc>
      </w:tr>
      <w:tr>
        <w:tc>
          <w:tcPr>
            <w:tcW w:type="dxa" w:w="1568"/>
            <w:shd w:fill="F2F2F2"/>
          </w:tcPr>
          <w:p>
            <w:r/>
            <w:r>
              <w:rPr>
                <w:rFonts w:ascii="Calibri" w:hAnsi="Calibri"/>
                <w:b w:val="0"/>
                <w:i w:val="0"/>
                <w:color w:val="404040"/>
                <w:sz w:val="20"/>
              </w:rPr>
              <w:t>consumer_price_index</w:t>
            </w:r>
          </w:p>
        </w:tc>
        <w:tc>
          <w:tcPr>
            <w:tcW w:type="dxa" w:w="1568"/>
            <w:shd w:fill="F2F2F2"/>
          </w:tcPr>
          <w:p>
            <w:r/>
            <w:r>
              <w:rPr>
                <w:rFonts w:ascii="Calibri" w:hAnsi="Calibri"/>
                <w:b w:val="0"/>
                <w:i w:val="0"/>
                <w:color w:val="404040"/>
                <w:sz w:val="20"/>
              </w:rPr>
              <w:t>93.57</w:t>
            </w:r>
          </w:p>
        </w:tc>
        <w:tc>
          <w:tcPr>
            <w:tcW w:type="dxa" w:w="1568"/>
            <w:shd w:fill="F2F2F2"/>
          </w:tcPr>
          <w:p>
            <w:r/>
            <w:r>
              <w:rPr>
                <w:rFonts w:ascii="Calibri" w:hAnsi="Calibri"/>
                <w:b w:val="0"/>
                <w:i w:val="0"/>
                <w:color w:val="404040"/>
                <w:sz w:val="20"/>
              </w:rPr>
              <w:t>93.75</w:t>
            </w:r>
          </w:p>
        </w:tc>
        <w:tc>
          <w:tcPr>
            <w:tcW w:type="dxa" w:w="1568"/>
            <w:shd w:fill="F2F2F2"/>
          </w:tcPr>
          <w:p>
            <w:r/>
            <w:r>
              <w:rPr>
                <w:rFonts w:ascii="Calibri" w:hAnsi="Calibri"/>
                <w:b w:val="0"/>
                <w:i w:val="0"/>
                <w:color w:val="404040"/>
                <w:sz w:val="20"/>
              </w:rPr>
              <w:t>0.58</w:t>
            </w:r>
          </w:p>
        </w:tc>
        <w:tc>
          <w:tcPr>
            <w:tcW w:type="dxa" w:w="1568"/>
            <w:shd w:fill="F2F2F2"/>
          </w:tcPr>
          <w:p>
            <w:r/>
            <w:r>
              <w:rPr>
                <w:rFonts w:ascii="Calibri" w:hAnsi="Calibri"/>
                <w:b w:val="0"/>
                <w:i w:val="0"/>
                <w:color w:val="404040"/>
                <w:sz w:val="20"/>
              </w:rPr>
              <w:t>92.20</w:t>
            </w:r>
          </w:p>
        </w:tc>
        <w:tc>
          <w:tcPr>
            <w:tcW w:type="dxa" w:w="1568"/>
            <w:shd w:fill="F2F2F2"/>
          </w:tcPr>
          <w:p>
            <w:r/>
            <w:r>
              <w:rPr>
                <w:rFonts w:ascii="Calibri" w:hAnsi="Calibri"/>
                <w:b w:val="0"/>
                <w:i w:val="0"/>
                <w:color w:val="404040"/>
                <w:sz w:val="20"/>
              </w:rPr>
              <w:t>94.77</w:t>
            </w:r>
          </w:p>
        </w:tc>
      </w:tr>
      <w:tr>
        <w:tc>
          <w:tcPr>
            <w:tcW w:type="dxa" w:w="1568"/>
          </w:tcPr>
          <w:p>
            <w:r/>
            <w:r>
              <w:rPr>
                <w:rFonts w:ascii="Calibri" w:hAnsi="Calibri"/>
                <w:b w:val="0"/>
                <w:i w:val="0"/>
                <w:color w:val="404040"/>
                <w:sz w:val="20"/>
              </w:rPr>
              <w:t>consumer_confidence_index</w:t>
            </w:r>
          </w:p>
        </w:tc>
        <w:tc>
          <w:tcPr>
            <w:tcW w:type="dxa" w:w="1568"/>
          </w:tcPr>
          <w:p>
            <w:r/>
            <w:r>
              <w:rPr>
                <w:rFonts w:ascii="Calibri" w:hAnsi="Calibri"/>
                <w:b w:val="0"/>
                <w:i w:val="0"/>
                <w:color w:val="404040"/>
                <w:sz w:val="20"/>
              </w:rPr>
              <w:t>-40.51</w:t>
            </w:r>
          </w:p>
        </w:tc>
        <w:tc>
          <w:tcPr>
            <w:tcW w:type="dxa" w:w="1568"/>
          </w:tcPr>
          <w:p>
            <w:r/>
            <w:r>
              <w:rPr>
                <w:rFonts w:ascii="Calibri" w:hAnsi="Calibri"/>
                <w:b w:val="0"/>
                <w:i w:val="0"/>
                <w:color w:val="404040"/>
                <w:sz w:val="20"/>
              </w:rPr>
              <w:t>-41.8</w:t>
            </w:r>
          </w:p>
        </w:tc>
        <w:tc>
          <w:tcPr>
            <w:tcW w:type="dxa" w:w="1568"/>
          </w:tcPr>
          <w:p>
            <w:r/>
            <w:r>
              <w:rPr>
                <w:rFonts w:ascii="Calibri" w:hAnsi="Calibri"/>
                <w:b w:val="0"/>
                <w:i w:val="0"/>
                <w:color w:val="404040"/>
                <w:sz w:val="20"/>
              </w:rPr>
              <w:t>4.63</w:t>
            </w:r>
          </w:p>
        </w:tc>
        <w:tc>
          <w:tcPr>
            <w:tcW w:type="dxa" w:w="1568"/>
          </w:tcPr>
          <w:p>
            <w:r/>
            <w:r>
              <w:rPr>
                <w:rFonts w:ascii="Calibri" w:hAnsi="Calibri"/>
                <w:b w:val="0"/>
                <w:i w:val="0"/>
                <w:color w:val="404040"/>
                <w:sz w:val="20"/>
              </w:rPr>
              <w:t>-50.8</w:t>
            </w:r>
          </w:p>
        </w:tc>
        <w:tc>
          <w:tcPr>
            <w:tcW w:type="dxa" w:w="1568"/>
          </w:tcPr>
          <w:p>
            <w:r/>
            <w:r>
              <w:rPr>
                <w:rFonts w:ascii="Calibri" w:hAnsi="Calibri"/>
                <w:b w:val="0"/>
                <w:i w:val="0"/>
                <w:color w:val="404040"/>
                <w:sz w:val="20"/>
              </w:rPr>
              <w:t>-26.9</w:t>
            </w:r>
          </w:p>
        </w:tc>
      </w:tr>
      <w:tr>
        <w:tc>
          <w:tcPr>
            <w:tcW w:type="dxa" w:w="1568"/>
            <w:shd w:fill="F2F2F2"/>
          </w:tcPr>
          <w:p>
            <w:r/>
            <w:r>
              <w:rPr>
                <w:rFonts w:ascii="Calibri" w:hAnsi="Calibri"/>
                <w:b w:val="0"/>
                <w:i w:val="0"/>
                <w:color w:val="404040"/>
                <w:sz w:val="20"/>
              </w:rPr>
              <w:t>euribor_3m_rate</w:t>
            </w:r>
          </w:p>
        </w:tc>
        <w:tc>
          <w:tcPr>
            <w:tcW w:type="dxa" w:w="1568"/>
            <w:shd w:fill="F2F2F2"/>
          </w:tcPr>
          <w:p>
            <w:r/>
            <w:r>
              <w:rPr>
                <w:rFonts w:ascii="Calibri" w:hAnsi="Calibri"/>
                <w:b w:val="0"/>
                <w:i w:val="0"/>
                <w:color w:val="404040"/>
                <w:sz w:val="20"/>
              </w:rPr>
              <w:t>3.62</w:t>
            </w:r>
          </w:p>
        </w:tc>
        <w:tc>
          <w:tcPr>
            <w:tcW w:type="dxa" w:w="1568"/>
            <w:shd w:fill="F2F2F2"/>
          </w:tcPr>
          <w:p>
            <w:r/>
            <w:r>
              <w:rPr>
                <w:rFonts w:ascii="Calibri" w:hAnsi="Calibri"/>
                <w:b w:val="0"/>
                <w:i w:val="0"/>
                <w:color w:val="404040"/>
                <w:sz w:val="20"/>
              </w:rPr>
              <w:t>4.86</w:t>
            </w:r>
          </w:p>
        </w:tc>
        <w:tc>
          <w:tcPr>
            <w:tcW w:type="dxa" w:w="1568"/>
            <w:shd w:fill="F2F2F2"/>
          </w:tcPr>
          <w:p>
            <w:r/>
            <w:r>
              <w:rPr>
                <w:rFonts w:ascii="Calibri" w:hAnsi="Calibri"/>
                <w:b w:val="0"/>
                <w:i w:val="0"/>
                <w:color w:val="404040"/>
                <w:sz w:val="20"/>
              </w:rPr>
              <w:t>1.73</w:t>
            </w:r>
          </w:p>
        </w:tc>
        <w:tc>
          <w:tcPr>
            <w:tcW w:type="dxa" w:w="1568"/>
            <w:shd w:fill="F2F2F2"/>
          </w:tcPr>
          <w:p>
            <w:r/>
            <w:r>
              <w:rPr>
                <w:rFonts w:ascii="Calibri" w:hAnsi="Calibri"/>
                <w:b w:val="0"/>
                <w:i w:val="0"/>
                <w:color w:val="404040"/>
                <w:sz w:val="20"/>
              </w:rPr>
              <w:t>0.63</w:t>
            </w:r>
          </w:p>
        </w:tc>
        <w:tc>
          <w:tcPr>
            <w:tcW w:type="dxa" w:w="1568"/>
            <w:shd w:fill="F2F2F2"/>
          </w:tcPr>
          <w:p>
            <w:r/>
            <w:r>
              <w:rPr>
                <w:rFonts w:ascii="Calibri" w:hAnsi="Calibri"/>
                <w:b w:val="0"/>
                <w:i w:val="0"/>
                <w:color w:val="404040"/>
                <w:sz w:val="20"/>
              </w:rPr>
              <w:t>5.04</w:t>
            </w:r>
          </w:p>
        </w:tc>
      </w:tr>
      <w:tr>
        <w:tc>
          <w:tcPr>
            <w:tcW w:type="dxa" w:w="1568"/>
          </w:tcPr>
          <w:p>
            <w:r/>
            <w:r>
              <w:rPr>
                <w:rFonts w:ascii="Calibri" w:hAnsi="Calibri"/>
                <w:b w:val="0"/>
                <w:i w:val="0"/>
                <w:color w:val="404040"/>
                <w:sz w:val="20"/>
              </w:rPr>
              <w:t>total_employment</w:t>
            </w:r>
          </w:p>
        </w:tc>
        <w:tc>
          <w:tcPr>
            <w:tcW w:type="dxa" w:w="1568"/>
          </w:tcPr>
          <w:p>
            <w:r/>
            <w:r>
              <w:rPr>
                <w:rFonts w:ascii="Calibri" w:hAnsi="Calibri"/>
                <w:b w:val="0"/>
                <w:i w:val="0"/>
                <w:color w:val="404040"/>
                <w:sz w:val="20"/>
              </w:rPr>
              <w:t>5.167</w:t>
            </w:r>
          </w:p>
        </w:tc>
        <w:tc>
          <w:tcPr>
            <w:tcW w:type="dxa" w:w="1568"/>
          </w:tcPr>
          <w:p>
            <w:r/>
            <w:r>
              <w:rPr>
                <w:rFonts w:ascii="Calibri" w:hAnsi="Calibri"/>
                <w:b w:val="0"/>
                <w:i w:val="0"/>
                <w:color w:val="404040"/>
                <w:sz w:val="20"/>
              </w:rPr>
              <w:t>5.191</w:t>
            </w:r>
          </w:p>
        </w:tc>
        <w:tc>
          <w:tcPr>
            <w:tcW w:type="dxa" w:w="1568"/>
          </w:tcPr>
          <w:p>
            <w:r/>
            <w:r>
              <w:rPr>
                <w:rFonts w:ascii="Calibri" w:hAnsi="Calibri"/>
                <w:b w:val="0"/>
                <w:i w:val="0"/>
                <w:color w:val="404040"/>
                <w:sz w:val="20"/>
              </w:rPr>
              <w:t>72.23</w:t>
            </w:r>
          </w:p>
        </w:tc>
        <w:tc>
          <w:tcPr>
            <w:tcW w:type="dxa" w:w="1568"/>
          </w:tcPr>
          <w:p>
            <w:r/>
            <w:r>
              <w:rPr>
                <w:rFonts w:ascii="Calibri" w:hAnsi="Calibri"/>
                <w:b w:val="0"/>
                <w:i w:val="0"/>
                <w:color w:val="404040"/>
                <w:sz w:val="20"/>
              </w:rPr>
              <w:t>4.964</w:t>
            </w:r>
          </w:p>
        </w:tc>
        <w:tc>
          <w:tcPr>
            <w:tcW w:type="dxa" w:w="1568"/>
          </w:tcPr>
          <w:p>
            <w:r/>
            <w:r>
              <w:rPr>
                <w:rFonts w:ascii="Calibri" w:hAnsi="Calibri"/>
                <w:b w:val="0"/>
                <w:i w:val="0"/>
                <w:color w:val="404040"/>
                <w:sz w:val="20"/>
              </w:rPr>
              <w:t>5.228</w:t>
            </w:r>
          </w:p>
        </w:tc>
      </w:tr>
    </w:tbl>
    <w:p>
      <w:pPr>
        <w:spacing w:after="120"/>
      </w:pPr>
      <w:r>
        <w:rPr>
          <w:rFonts w:ascii="Calibri" w:hAnsi="Calibri"/>
          <w:b/>
          <w:i w:val="0"/>
          <w:color w:val="404040"/>
          <w:sz w:val="22"/>
        </w:rPr>
        <w:t>Observaciones clave:</w:t>
      </w:r>
    </w:p>
    <w:p>
      <w:pPr>
        <w:pStyle w:val="ListBullet"/>
      </w:pPr>
      <w:r>
        <w:rPr>
          <w:rFonts w:ascii="Calibri" w:hAnsi="Calibri"/>
          <w:b w:val="0"/>
          <w:i w:val="0"/>
          <w:color w:val="404040"/>
          <w:sz w:val="22"/>
        </w:rPr>
        <w:t>call_duration presenta extrema dispersión (σ=259, rango 0-4.918 seg). Su histograma muestra una distribución fuertemente sesgada a la derecha.</w:t>
      </w:r>
    </w:p>
    <w:p>
      <w:pPr>
        <w:pStyle w:val="ListBullet"/>
      </w:pPr>
      <w:r>
        <w:rPr>
          <w:rFonts w:ascii="Calibri" w:hAnsi="Calibri"/>
          <w:b w:val="0"/>
          <w:i w:val="0"/>
          <w:color w:val="404040"/>
          <w:sz w:val="22"/>
        </w:rPr>
        <w:t>contact_attempts tiene la mayoría de clientes contactados 1-3 veces, pero con un máximo de 43 intentos.</w:t>
      </w:r>
    </w:p>
    <w:p>
      <w:pPr>
        <w:pStyle w:val="ListBullet"/>
      </w:pPr>
      <w:r>
        <w:rPr>
          <w:rFonts w:ascii="Calibri" w:hAnsi="Calibri"/>
          <w:b w:val="0"/>
          <w:i w:val="0"/>
          <w:color w:val="404040"/>
          <w:sz w:val="22"/>
        </w:rPr>
        <w:t>previously_contacted concentra el 96.3% en 999 (nunca contactado), generando una distribución bimodal artificial.</w:t>
      </w:r>
    </w:p>
    <w:p>
      <w:pPr>
        <w:pStyle w:val="ListBullet"/>
      </w:pPr>
      <w:r>
        <w:rPr>
          <w:rFonts w:ascii="Calibri" w:hAnsi="Calibri"/>
          <w:b w:val="0"/>
          <w:i w:val="0"/>
          <w:color w:val="404040"/>
          <w:sz w:val="22"/>
        </w:rPr>
        <w:t>Las variables macroeconómicas muestran distribuciones peculiares: euribor_3m_rate y employment_variation_rate tienen distribuciones bimodales, reflejando los ciclos económicos del periodo 2018-2020.</w:t>
      </w:r>
    </w:p>
    <w:p>
      <w:pPr>
        <w:pStyle w:val="Heading2"/>
      </w:pPr>
      <w:r>
        <w:rPr>
          <w:rFonts w:ascii="Calibri" w:hAnsi="Calibri"/>
          <w:color w:val="1F3864"/>
        </w:rPr>
        <w:t>5.2 Variables Categóricas</w:t>
      </w:r>
    </w:p>
    <w:p>
      <w:pPr>
        <w:spacing w:after="120"/>
      </w:pPr>
      <w:r>
        <w:rPr>
          <w:rFonts w:ascii="Calibri" w:hAnsi="Calibri"/>
          <w:b w:val="0"/>
          <w:i w:val="0"/>
          <w:color w:val="404040"/>
          <w:sz w:val="22"/>
        </w:rPr>
        <w:t>Se generaron gráficos de barras para todas las variables categóricas (celda 14), iterando sobre df_fintech_clean.select_dtypes(include='object').columns, iterando sobre las columnas de tipo object:</w:t>
      </w:r>
    </w:p>
    <w:p>
      <w:pPr>
        <w:jc w:val="center"/>
      </w:pPr>
      <w:r>
        <w:drawing>
          <wp:inline xmlns:a="http://schemas.openxmlformats.org/drawingml/2006/main" xmlns:pic="http://schemas.openxmlformats.org/drawingml/2006/picture">
            <wp:extent cx="5486400" cy="3141225"/>
            <wp:docPr id="16" name="Picture 16"/>
            <wp:cNvGraphicFramePr>
              <a:graphicFrameLocks noChangeAspect="1"/>
            </wp:cNvGraphicFramePr>
            <a:graphic>
              <a:graphicData uri="http://schemas.openxmlformats.org/drawingml/2006/picture">
                <pic:pic>
                  <pic:nvPicPr>
                    <pic:cNvPr id="0" name="fig02_categoricas_grid.png"/>
                    <pic:cNvPicPr/>
                  </pic:nvPicPr>
                  <pic:blipFill>
                    <a:blip r:embed="rId24"/>
                    <a:stretch>
                      <a:fillRect/>
                    </a:stretch>
                  </pic:blipFill>
                  <pic:spPr>
                    <a:xfrm>
                      <a:off x="0" y="0"/>
                      <a:ext cx="5486400" cy="3141225"/>
                    </a:xfrm>
                    <a:prstGeom prst="rect"/>
                  </pic:spPr>
                </pic:pic>
              </a:graphicData>
            </a:graphic>
          </wp:inline>
        </w:drawing>
      </w:r>
    </w:p>
    <w:p>
      <w:pPr>
        <w:jc w:val="center"/>
      </w:pPr>
      <w:r>
        <w:rPr>
          <w:rFonts w:ascii="Calibri" w:hAnsi="Calibri"/>
          <w:i/>
          <w:color w:val="808080"/>
          <w:sz w:val="18"/>
        </w:rPr>
        <w:t>Figura 2. Distribución de las principales variables categóricas del dataset limpio. Generados en la celda 14 del notebook iterando sobre columnas de tipo object.</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Variable</w:t>
            </w:r>
          </w:p>
        </w:tc>
        <w:tc>
          <w:tcPr>
            <w:tcW w:type="dxa" w:w="2351"/>
            <w:shd w:fill="1F3864"/>
          </w:tcPr>
          <w:p>
            <w:pPr>
              <w:jc w:val="center"/>
            </w:pPr>
            <w:r/>
            <w:r>
              <w:rPr>
                <w:rFonts w:ascii="Calibri" w:hAnsi="Calibri"/>
                <w:b/>
                <w:i w:val="0"/>
                <w:color w:val="FFFFFF"/>
                <w:sz w:val="20"/>
              </w:rPr>
              <w:t>Categoría Dominante</w:t>
            </w:r>
          </w:p>
        </w:tc>
        <w:tc>
          <w:tcPr>
            <w:tcW w:type="dxa" w:w="2351"/>
            <w:shd w:fill="1F3864"/>
          </w:tcPr>
          <w:p>
            <w:pPr>
              <w:jc w:val="center"/>
            </w:pPr>
            <w:r/>
            <w:r>
              <w:rPr>
                <w:rFonts w:ascii="Calibri" w:hAnsi="Calibri"/>
                <w:b/>
                <w:i w:val="0"/>
                <w:color w:val="FFFFFF"/>
                <w:sz w:val="20"/>
              </w:rPr>
              <w:t>% Dominante</w:t>
            </w:r>
          </w:p>
        </w:tc>
        <w:tc>
          <w:tcPr>
            <w:tcW w:type="dxa" w:w="2351"/>
            <w:shd w:fill="1F3864"/>
          </w:tcPr>
          <w:p>
            <w:pPr>
              <w:jc w:val="center"/>
            </w:pPr>
            <w:r/>
            <w:r>
              <w:rPr>
                <w:rFonts w:ascii="Calibri" w:hAnsi="Calibri"/>
                <w:b/>
                <w:i w:val="0"/>
                <w:color w:val="FFFFFF"/>
                <w:sz w:val="20"/>
              </w:rPr>
              <w:t>Nº Categorías</w:t>
            </w:r>
          </w:p>
        </w:tc>
      </w:tr>
      <w:tr>
        <w:tc>
          <w:tcPr>
            <w:tcW w:type="dxa" w:w="2351"/>
            <w:shd w:fill="F2F2F2"/>
          </w:tcPr>
          <w:p>
            <w:r/>
            <w:r>
              <w:rPr>
                <w:rFonts w:ascii="Calibri" w:hAnsi="Calibri"/>
                <w:b w:val="0"/>
                <w:i w:val="0"/>
                <w:color w:val="404040"/>
                <w:sz w:val="20"/>
              </w:rPr>
              <w:t>job_type</w:t>
            </w:r>
          </w:p>
        </w:tc>
        <w:tc>
          <w:tcPr>
            <w:tcW w:type="dxa" w:w="2351"/>
            <w:shd w:fill="F2F2F2"/>
          </w:tcPr>
          <w:p>
            <w:r/>
            <w:r>
              <w:rPr>
                <w:rFonts w:ascii="Calibri" w:hAnsi="Calibri"/>
                <w:b w:val="0"/>
                <w:i w:val="0"/>
                <w:color w:val="404040"/>
                <w:sz w:val="20"/>
              </w:rPr>
              <w:t>admin.</w:t>
            </w:r>
          </w:p>
        </w:tc>
        <w:tc>
          <w:tcPr>
            <w:tcW w:type="dxa" w:w="2351"/>
            <w:shd w:fill="F2F2F2"/>
          </w:tcPr>
          <w:p>
            <w:r/>
            <w:r>
              <w:rPr>
                <w:rFonts w:ascii="Calibri" w:hAnsi="Calibri"/>
                <w:b w:val="0"/>
                <w:i w:val="0"/>
                <w:color w:val="404040"/>
                <w:sz w:val="20"/>
              </w:rPr>
              <w:t>25.4%</w:t>
            </w:r>
          </w:p>
        </w:tc>
        <w:tc>
          <w:tcPr>
            <w:tcW w:type="dxa" w:w="2351"/>
            <w:shd w:fill="F2F2F2"/>
          </w:tcPr>
          <w:p>
            <w:r/>
            <w:r>
              <w:rPr>
                <w:rFonts w:ascii="Calibri" w:hAnsi="Calibri"/>
                <w:b w:val="0"/>
                <w:i w:val="0"/>
                <w:color w:val="404040"/>
                <w:sz w:val="20"/>
              </w:rPr>
              <w:t>12</w:t>
            </w:r>
          </w:p>
        </w:tc>
      </w:tr>
      <w:tr>
        <w:tc>
          <w:tcPr>
            <w:tcW w:type="dxa" w:w="2351"/>
          </w:tcPr>
          <w:p>
            <w:r/>
            <w:r>
              <w:rPr>
                <w:rFonts w:ascii="Calibri" w:hAnsi="Calibri"/>
                <w:b w:val="0"/>
                <w:i w:val="0"/>
                <w:color w:val="404040"/>
                <w:sz w:val="20"/>
              </w:rPr>
              <w:t>marital_status</w:t>
            </w:r>
          </w:p>
        </w:tc>
        <w:tc>
          <w:tcPr>
            <w:tcW w:type="dxa" w:w="2351"/>
          </w:tcPr>
          <w:p>
            <w:r/>
            <w:r>
              <w:rPr>
                <w:rFonts w:ascii="Calibri" w:hAnsi="Calibri"/>
                <w:b w:val="0"/>
                <w:i w:val="0"/>
                <w:color w:val="404040"/>
                <w:sz w:val="20"/>
              </w:rPr>
              <w:t>married</w:t>
            </w:r>
          </w:p>
        </w:tc>
        <w:tc>
          <w:tcPr>
            <w:tcW w:type="dxa" w:w="2351"/>
          </w:tcPr>
          <w:p>
            <w:r/>
            <w:r>
              <w:rPr>
                <w:rFonts w:ascii="Calibri" w:hAnsi="Calibri"/>
                <w:b w:val="0"/>
                <w:i w:val="0"/>
                <w:color w:val="404040"/>
                <w:sz w:val="20"/>
              </w:rPr>
              <w:t>60.5%</w:t>
            </w:r>
          </w:p>
        </w:tc>
        <w:tc>
          <w:tcPr>
            <w:tcW w:type="dxa" w:w="2351"/>
          </w:tcPr>
          <w:p>
            <w:r/>
            <w:r>
              <w:rPr>
                <w:rFonts w:ascii="Calibri" w:hAnsi="Calibri"/>
                <w:b w:val="0"/>
                <w:i w:val="0"/>
                <w:color w:val="404040"/>
                <w:sz w:val="20"/>
              </w:rPr>
              <w:t>4</w:t>
            </w:r>
          </w:p>
        </w:tc>
      </w:tr>
      <w:tr>
        <w:tc>
          <w:tcPr>
            <w:tcW w:type="dxa" w:w="2351"/>
            <w:shd w:fill="F2F2F2"/>
          </w:tcPr>
          <w:p>
            <w:r/>
            <w:r>
              <w:rPr>
                <w:rFonts w:ascii="Calibri" w:hAnsi="Calibri"/>
                <w:b w:val="0"/>
                <w:i w:val="0"/>
                <w:color w:val="404040"/>
                <w:sz w:val="20"/>
              </w:rPr>
              <w:t>education_level</w:t>
            </w:r>
          </w:p>
        </w:tc>
        <w:tc>
          <w:tcPr>
            <w:tcW w:type="dxa" w:w="2351"/>
            <w:shd w:fill="F2F2F2"/>
          </w:tcPr>
          <w:p>
            <w:r/>
            <w:r>
              <w:rPr>
                <w:rFonts w:ascii="Calibri" w:hAnsi="Calibri"/>
                <w:b w:val="0"/>
                <w:i w:val="0"/>
                <w:color w:val="404040"/>
                <w:sz w:val="20"/>
              </w:rPr>
              <w:t>university.degree</w:t>
            </w:r>
          </w:p>
        </w:tc>
        <w:tc>
          <w:tcPr>
            <w:tcW w:type="dxa" w:w="2351"/>
            <w:shd w:fill="F2F2F2"/>
          </w:tcPr>
          <w:p>
            <w:r/>
            <w:r>
              <w:rPr>
                <w:rFonts w:ascii="Calibri" w:hAnsi="Calibri"/>
                <w:b w:val="0"/>
                <w:i w:val="0"/>
                <w:color w:val="404040"/>
                <w:sz w:val="20"/>
              </w:rPr>
              <w:t>29.6%</w:t>
            </w:r>
          </w:p>
        </w:tc>
        <w:tc>
          <w:tcPr>
            <w:tcW w:type="dxa" w:w="2351"/>
            <w:shd w:fill="F2F2F2"/>
          </w:tcPr>
          <w:p>
            <w:r/>
            <w:r>
              <w:rPr>
                <w:rFonts w:ascii="Calibri" w:hAnsi="Calibri"/>
                <w:b w:val="0"/>
                <w:i w:val="0"/>
                <w:color w:val="404040"/>
                <w:sz w:val="20"/>
              </w:rPr>
              <w:t>8</w:t>
            </w:r>
          </w:p>
        </w:tc>
      </w:tr>
      <w:tr>
        <w:tc>
          <w:tcPr>
            <w:tcW w:type="dxa" w:w="2351"/>
          </w:tcPr>
          <w:p>
            <w:r/>
            <w:r>
              <w:rPr>
                <w:rFonts w:ascii="Calibri" w:hAnsi="Calibri"/>
                <w:b w:val="0"/>
                <w:i w:val="0"/>
                <w:color w:val="404040"/>
                <w:sz w:val="20"/>
              </w:rPr>
              <w:t>credit_default</w:t>
            </w:r>
          </w:p>
        </w:tc>
        <w:tc>
          <w:tcPr>
            <w:tcW w:type="dxa" w:w="2351"/>
          </w:tcPr>
          <w:p>
            <w:r/>
            <w:r>
              <w:rPr>
                <w:rFonts w:ascii="Calibri" w:hAnsi="Calibri"/>
                <w:b w:val="0"/>
                <w:i w:val="0"/>
                <w:color w:val="404040"/>
                <w:sz w:val="20"/>
              </w:rPr>
              <w:t>no</w:t>
            </w:r>
          </w:p>
        </w:tc>
        <w:tc>
          <w:tcPr>
            <w:tcW w:type="dxa" w:w="2351"/>
          </w:tcPr>
          <w:p>
            <w:r/>
            <w:r>
              <w:rPr>
                <w:rFonts w:ascii="Calibri" w:hAnsi="Calibri"/>
                <w:b w:val="0"/>
                <w:i w:val="0"/>
                <w:color w:val="404040"/>
                <w:sz w:val="20"/>
              </w:rPr>
              <w:t>79.2%</w:t>
            </w:r>
          </w:p>
        </w:tc>
        <w:tc>
          <w:tcPr>
            <w:tcW w:type="dxa" w:w="2351"/>
          </w:tcPr>
          <w:p>
            <w:r/>
            <w:r>
              <w:rPr>
                <w:rFonts w:ascii="Calibri" w:hAnsi="Calibri"/>
                <w:b w:val="0"/>
                <w:i w:val="0"/>
                <w:color w:val="404040"/>
                <w:sz w:val="20"/>
              </w:rPr>
              <w:t>3</w:t>
            </w:r>
          </w:p>
        </w:tc>
      </w:tr>
      <w:tr>
        <w:tc>
          <w:tcPr>
            <w:tcW w:type="dxa" w:w="2351"/>
            <w:shd w:fill="F2F2F2"/>
          </w:tcPr>
          <w:p>
            <w:r/>
            <w:r>
              <w:rPr>
                <w:rFonts w:ascii="Calibri" w:hAnsi="Calibri"/>
                <w:b w:val="0"/>
                <w:i w:val="0"/>
                <w:color w:val="404040"/>
                <w:sz w:val="20"/>
              </w:rPr>
              <w:t>has_housing_loan</w:t>
            </w:r>
          </w:p>
        </w:tc>
        <w:tc>
          <w:tcPr>
            <w:tcW w:type="dxa" w:w="2351"/>
            <w:shd w:fill="F2F2F2"/>
          </w:tcPr>
          <w:p>
            <w:r/>
            <w:r>
              <w:rPr>
                <w:rFonts w:ascii="Calibri" w:hAnsi="Calibri"/>
                <w:b w:val="0"/>
                <w:i w:val="0"/>
                <w:color w:val="404040"/>
                <w:sz w:val="20"/>
              </w:rPr>
              <w:t>yes</w:t>
            </w:r>
          </w:p>
        </w:tc>
        <w:tc>
          <w:tcPr>
            <w:tcW w:type="dxa" w:w="2351"/>
            <w:shd w:fill="F2F2F2"/>
          </w:tcPr>
          <w:p>
            <w:r/>
            <w:r>
              <w:rPr>
                <w:rFonts w:ascii="Calibri" w:hAnsi="Calibri"/>
                <w:b w:val="0"/>
                <w:i w:val="0"/>
                <w:color w:val="404040"/>
                <w:sz w:val="20"/>
              </w:rPr>
              <w:t>53.7%</w:t>
            </w:r>
          </w:p>
        </w:tc>
        <w:tc>
          <w:tcPr>
            <w:tcW w:type="dxa" w:w="2351"/>
            <w:shd w:fill="F2F2F2"/>
          </w:tcPr>
          <w:p>
            <w:r/>
            <w:r>
              <w:rPr>
                <w:rFonts w:ascii="Calibri" w:hAnsi="Calibri"/>
                <w:b w:val="0"/>
                <w:i w:val="0"/>
                <w:color w:val="404040"/>
                <w:sz w:val="20"/>
              </w:rPr>
              <w:t>2</w:t>
            </w:r>
          </w:p>
        </w:tc>
      </w:tr>
      <w:tr>
        <w:tc>
          <w:tcPr>
            <w:tcW w:type="dxa" w:w="2351"/>
          </w:tcPr>
          <w:p>
            <w:r/>
            <w:r>
              <w:rPr>
                <w:rFonts w:ascii="Calibri" w:hAnsi="Calibri"/>
                <w:b w:val="0"/>
                <w:i w:val="0"/>
                <w:color w:val="404040"/>
                <w:sz w:val="20"/>
              </w:rPr>
              <w:t>has_personal_loan</w:t>
            </w:r>
          </w:p>
        </w:tc>
        <w:tc>
          <w:tcPr>
            <w:tcW w:type="dxa" w:w="2351"/>
          </w:tcPr>
          <w:p>
            <w:r/>
            <w:r>
              <w:rPr>
                <w:rFonts w:ascii="Calibri" w:hAnsi="Calibri"/>
                <w:b w:val="0"/>
                <w:i w:val="0"/>
                <w:color w:val="404040"/>
                <w:sz w:val="20"/>
              </w:rPr>
              <w:t>no</w:t>
            </w:r>
          </w:p>
        </w:tc>
        <w:tc>
          <w:tcPr>
            <w:tcW w:type="dxa" w:w="2351"/>
          </w:tcPr>
          <w:p>
            <w:r/>
            <w:r>
              <w:rPr>
                <w:rFonts w:ascii="Calibri" w:hAnsi="Calibri"/>
                <w:b w:val="0"/>
                <w:i w:val="0"/>
                <w:color w:val="404040"/>
                <w:sz w:val="20"/>
              </w:rPr>
              <w:t>84.4%</w:t>
            </w:r>
          </w:p>
        </w:tc>
        <w:tc>
          <w:tcPr>
            <w:tcW w:type="dxa" w:w="2351"/>
          </w:tcPr>
          <w:p>
            <w:r/>
            <w:r>
              <w:rPr>
                <w:rFonts w:ascii="Calibri" w:hAnsi="Calibri"/>
                <w:b w:val="0"/>
                <w:i w:val="0"/>
                <w:color w:val="404040"/>
                <w:sz w:val="20"/>
              </w:rPr>
              <w:t>2</w:t>
            </w:r>
          </w:p>
        </w:tc>
      </w:tr>
      <w:tr>
        <w:tc>
          <w:tcPr>
            <w:tcW w:type="dxa" w:w="2351"/>
            <w:shd w:fill="F2F2F2"/>
          </w:tcPr>
          <w:p>
            <w:r/>
            <w:r>
              <w:rPr>
                <w:rFonts w:ascii="Calibri" w:hAnsi="Calibri"/>
                <w:b w:val="0"/>
                <w:i w:val="0"/>
                <w:color w:val="404040"/>
                <w:sz w:val="20"/>
              </w:rPr>
              <w:t>contact_method</w:t>
            </w:r>
          </w:p>
        </w:tc>
        <w:tc>
          <w:tcPr>
            <w:tcW w:type="dxa" w:w="2351"/>
            <w:shd w:fill="F2F2F2"/>
          </w:tcPr>
          <w:p>
            <w:r/>
            <w:r>
              <w:rPr>
                <w:rFonts w:ascii="Calibri" w:hAnsi="Calibri"/>
                <w:b w:val="0"/>
                <w:i w:val="0"/>
                <w:color w:val="404040"/>
                <w:sz w:val="20"/>
              </w:rPr>
              <w:t>cellular</w:t>
            </w:r>
          </w:p>
        </w:tc>
        <w:tc>
          <w:tcPr>
            <w:tcW w:type="dxa" w:w="2351"/>
            <w:shd w:fill="F2F2F2"/>
          </w:tcPr>
          <w:p>
            <w:r/>
            <w:r>
              <w:rPr>
                <w:rFonts w:ascii="Calibri" w:hAnsi="Calibri"/>
                <w:b w:val="0"/>
                <w:i w:val="0"/>
                <w:color w:val="404040"/>
                <w:sz w:val="20"/>
              </w:rPr>
              <w:t>63.6%</w:t>
            </w:r>
          </w:p>
        </w:tc>
        <w:tc>
          <w:tcPr>
            <w:tcW w:type="dxa" w:w="2351"/>
            <w:shd w:fill="F2F2F2"/>
          </w:tcPr>
          <w:p>
            <w:r/>
            <w:r>
              <w:rPr>
                <w:rFonts w:ascii="Calibri" w:hAnsi="Calibri"/>
                <w:b w:val="0"/>
                <w:i w:val="0"/>
                <w:color w:val="404040"/>
                <w:sz w:val="20"/>
              </w:rPr>
              <w:t>2</w:t>
            </w:r>
          </w:p>
        </w:tc>
      </w:tr>
      <w:tr>
        <w:tc>
          <w:tcPr>
            <w:tcW w:type="dxa" w:w="2351"/>
          </w:tcPr>
          <w:p>
            <w:r/>
            <w:r>
              <w:rPr>
                <w:rFonts w:ascii="Calibri" w:hAnsi="Calibri"/>
                <w:b w:val="0"/>
                <w:i w:val="0"/>
                <w:color w:val="404040"/>
                <w:sz w:val="20"/>
              </w:rPr>
              <w:t>previous_campaign_outcome</w:t>
            </w:r>
          </w:p>
        </w:tc>
        <w:tc>
          <w:tcPr>
            <w:tcW w:type="dxa" w:w="2351"/>
          </w:tcPr>
          <w:p>
            <w:r/>
            <w:r>
              <w:rPr>
                <w:rFonts w:ascii="Calibri" w:hAnsi="Calibri"/>
                <w:b w:val="0"/>
                <w:i w:val="0"/>
                <w:color w:val="404040"/>
                <w:sz w:val="20"/>
              </w:rPr>
              <w:t>nonexistent</w:t>
            </w:r>
          </w:p>
        </w:tc>
        <w:tc>
          <w:tcPr>
            <w:tcW w:type="dxa" w:w="2351"/>
          </w:tcPr>
          <w:p>
            <w:r/>
            <w:r>
              <w:rPr>
                <w:rFonts w:ascii="Calibri" w:hAnsi="Calibri"/>
                <w:b w:val="0"/>
                <w:i w:val="0"/>
                <w:color w:val="404040"/>
                <w:sz w:val="20"/>
              </w:rPr>
              <w:t>86.3%</w:t>
            </w:r>
          </w:p>
        </w:tc>
        <w:tc>
          <w:tcPr>
            <w:tcW w:type="dxa" w:w="2351"/>
          </w:tcPr>
          <w:p>
            <w:r/>
            <w:r>
              <w:rPr>
                <w:rFonts w:ascii="Calibri" w:hAnsi="Calibri"/>
                <w:b w:val="0"/>
                <w:i w:val="0"/>
                <w:color w:val="404040"/>
                <w:sz w:val="20"/>
              </w:rPr>
              <w:t>3</w:t>
            </w:r>
          </w:p>
        </w:tc>
      </w:tr>
      <w:tr>
        <w:tc>
          <w:tcPr>
            <w:tcW w:type="dxa" w:w="2351"/>
            <w:shd w:fill="F2F2F2"/>
          </w:tcPr>
          <w:p>
            <w:r/>
            <w:r>
              <w:rPr>
                <w:rFonts w:ascii="Calibri" w:hAnsi="Calibri"/>
                <w:b w:val="0"/>
                <w:i w:val="0"/>
                <w:color w:val="404040"/>
                <w:sz w:val="20"/>
              </w:rPr>
              <w:t>is_new_campaign_client</w:t>
            </w:r>
          </w:p>
        </w:tc>
        <w:tc>
          <w:tcPr>
            <w:tcW w:type="dxa" w:w="2351"/>
            <w:shd w:fill="F2F2F2"/>
          </w:tcPr>
          <w:p>
            <w:r/>
            <w:r>
              <w:rPr>
                <w:rFonts w:ascii="Calibri" w:hAnsi="Calibri"/>
                <w:b w:val="0"/>
                <w:i w:val="0"/>
                <w:color w:val="404040"/>
                <w:sz w:val="20"/>
              </w:rPr>
              <w:t>yes</w:t>
            </w:r>
          </w:p>
        </w:tc>
        <w:tc>
          <w:tcPr>
            <w:tcW w:type="dxa" w:w="2351"/>
            <w:shd w:fill="F2F2F2"/>
          </w:tcPr>
          <w:p>
            <w:r/>
            <w:r>
              <w:rPr>
                <w:rFonts w:ascii="Calibri" w:hAnsi="Calibri"/>
                <w:b w:val="0"/>
                <w:i w:val="0"/>
                <w:color w:val="404040"/>
                <w:sz w:val="20"/>
              </w:rPr>
              <w:t>86.3%</w:t>
            </w:r>
          </w:p>
        </w:tc>
        <w:tc>
          <w:tcPr>
            <w:tcW w:type="dxa" w:w="2351"/>
            <w:shd w:fill="F2F2F2"/>
          </w:tcPr>
          <w:p>
            <w:r/>
            <w:r>
              <w:rPr>
                <w:rFonts w:ascii="Calibri" w:hAnsi="Calibri"/>
                <w:b w:val="0"/>
                <w:i w:val="0"/>
                <w:color w:val="404040"/>
                <w:sz w:val="20"/>
              </w:rPr>
              <w:t>2</w:t>
            </w:r>
          </w:p>
        </w:tc>
      </w:tr>
      <w:tr>
        <w:tc>
          <w:tcPr>
            <w:tcW w:type="dxa" w:w="2351"/>
          </w:tcPr>
          <w:p>
            <w:r/>
            <w:r>
              <w:rPr>
                <w:rFonts w:ascii="Calibri" w:hAnsi="Calibri"/>
                <w:b w:val="0"/>
                <w:i w:val="0"/>
                <w:color w:val="404040"/>
                <w:sz w:val="20"/>
              </w:rPr>
              <w:t>high_contact_attempts</w:t>
            </w:r>
          </w:p>
        </w:tc>
        <w:tc>
          <w:tcPr>
            <w:tcW w:type="dxa" w:w="2351"/>
          </w:tcPr>
          <w:p>
            <w:r/>
            <w:r>
              <w:rPr>
                <w:rFonts w:ascii="Calibri" w:hAnsi="Calibri"/>
                <w:b w:val="0"/>
                <w:i w:val="0"/>
                <w:color w:val="404040"/>
                <w:sz w:val="20"/>
              </w:rPr>
              <w:t>no</w:t>
            </w:r>
          </w:p>
        </w:tc>
        <w:tc>
          <w:tcPr>
            <w:tcW w:type="dxa" w:w="2351"/>
          </w:tcPr>
          <w:p>
            <w:r/>
            <w:r>
              <w:rPr>
                <w:rFonts w:ascii="Calibri" w:hAnsi="Calibri"/>
                <w:b w:val="0"/>
                <w:i w:val="0"/>
                <w:color w:val="404040"/>
                <w:sz w:val="20"/>
              </w:rPr>
              <w:t>81.4%</w:t>
            </w:r>
          </w:p>
        </w:tc>
        <w:tc>
          <w:tcPr>
            <w:tcW w:type="dxa" w:w="2351"/>
          </w:tcPr>
          <w:p>
            <w:r/>
            <w:r>
              <w:rPr>
                <w:rFonts w:ascii="Calibri" w:hAnsi="Calibri"/>
                <w:b w:val="0"/>
                <w:i w:val="0"/>
                <w:color w:val="404040"/>
                <w:sz w:val="20"/>
              </w:rPr>
              <w:t>2</w:t>
            </w:r>
          </w:p>
        </w:tc>
      </w:tr>
    </w:tbl>
    <w:p>
      <w:pPr>
        <w:spacing w:after="120"/>
      </w:pPr>
      <w:r>
        <w:rPr>
          <w:rFonts w:ascii="Calibri" w:hAnsi="Calibri"/>
          <w:b w:val="0"/>
          <w:i/>
          <w:color w:val="404040"/>
          <w:sz w:val="22"/>
        </w:rPr>
        <w:t>Perfil promedio del cliente (dataset limpio): persona de ~40 años, casada, con estudios universitarios, sin crédito impago, trabajadora del sector administrativo, contactada por primera vez por celular.</w:t>
      </w:r>
    </w:p>
    <w:p>
      <w:pPr>
        <w:pStyle w:val="Heading2"/>
      </w:pPr>
      <w:r>
        <w:rPr>
          <w:rFonts w:ascii="Calibri" w:hAnsi="Calibri"/>
          <w:color w:val="1F3864"/>
        </w:rPr>
        <w:t>5.3 Detección de Outliers</w:t>
      </w:r>
    </w:p>
    <w:p>
      <w:pPr>
        <w:spacing w:after="120"/>
      </w:pPr>
      <w:r>
        <w:rPr>
          <w:rFonts w:ascii="Calibri" w:hAnsi="Calibri"/>
          <w:b w:val="0"/>
          <w:i w:val="0"/>
          <w:color w:val="404040"/>
          <w:sz w:val="22"/>
        </w:rPr>
        <w:t>Los boxplots horizontales de las variables macroeconómicas (celda 13) revelaron que estas variables no presentan outliers clásicos, sino distribuciones condicionadas por los ciclos económicos del periodo. En las variables de campaña, los histogramas (celda 12) muestran concentración en valores bajos con colas largas en contact_attempts y previously_contacted.</w:t>
      </w:r>
    </w:p>
    <w:p>
      <w:pPr>
        <w:jc w:val="center"/>
      </w:pPr>
      <w:r>
        <w:drawing>
          <wp:inline xmlns:a="http://schemas.openxmlformats.org/drawingml/2006/main" xmlns:pic="http://schemas.openxmlformats.org/drawingml/2006/picture">
            <wp:extent cx="5486400" cy="5618899"/>
            <wp:docPr id="15" name="Picture 15"/>
            <wp:cNvGraphicFramePr>
              <a:graphicFrameLocks noChangeAspect="1"/>
            </wp:cNvGraphicFramePr>
            <a:graphic>
              <a:graphicData uri="http://schemas.openxmlformats.org/drawingml/2006/picture">
                <pic:pic>
                  <pic:nvPicPr>
                    <pic:cNvPr id="0" name="fig17_boxplots_macro.png"/>
                    <pic:cNvPicPr/>
                  </pic:nvPicPr>
                  <pic:blipFill>
                    <a:blip r:embed="rId23"/>
                    <a:stretch>
                      <a:fillRect/>
                    </a:stretch>
                  </pic:blipFill>
                  <pic:spPr>
                    <a:xfrm>
                      <a:off x="0" y="0"/>
                      <a:ext cx="5486400" cy="5618899"/>
                    </a:xfrm>
                    <a:prstGeom prst="rect"/>
                  </pic:spPr>
                </pic:pic>
              </a:graphicData>
            </a:graphic>
          </wp:inline>
        </w:drawing>
      </w:r>
    </w:p>
    <w:p>
      <w:pPr>
        <w:jc w:val="center"/>
      </w:pPr>
      <w:r>
        <w:rPr>
          <w:rFonts w:ascii="Calibri" w:hAnsi="Calibri"/>
          <w:i/>
          <w:color w:val="808080"/>
          <w:sz w:val="18"/>
        </w:rPr>
        <w:t>Figura 3. Boxplots horizontales de las 5 variables macroeconómicas mostrando cuartiles y distribución. Generados en la celda 13 del notebook.</w:t>
      </w:r>
    </w:p>
    <w:p>
      <w:pPr>
        <w:spacing w:before="120" w:after="120"/>
      </w:pPr>
    </w:p>
    <w:p>
      <w:pPr>
        <w:pStyle w:val="Heading2"/>
      </w:pPr>
      <w:r>
        <w:rPr>
          <w:rFonts w:ascii="Calibri" w:hAnsi="Calibri"/>
          <w:color w:val="1F3864"/>
        </w:rPr>
        <w:t>5.4 Variable Target: Suscripción al Depósito</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Categoría</w:t>
            </w:r>
          </w:p>
        </w:tc>
        <w:tc>
          <w:tcPr>
            <w:tcW w:type="dxa" w:w="3135"/>
            <w:shd w:fill="1F3864"/>
          </w:tcPr>
          <w:p>
            <w:pPr>
              <w:jc w:val="center"/>
            </w:pPr>
            <w:r/>
            <w:r>
              <w:rPr>
                <w:rFonts w:ascii="Calibri" w:hAnsi="Calibri"/>
                <w:b/>
                <w:i w:val="0"/>
                <w:color w:val="FFFFFF"/>
                <w:sz w:val="20"/>
              </w:rPr>
              <w:t>Registros</w:t>
            </w:r>
          </w:p>
        </w:tc>
        <w:tc>
          <w:tcPr>
            <w:tcW w:type="dxa" w:w="3135"/>
            <w:shd w:fill="1F3864"/>
          </w:tcPr>
          <w:p>
            <w:pPr>
              <w:jc w:val="center"/>
            </w:pPr>
            <w:r/>
            <w:r>
              <w:rPr>
                <w:rFonts w:ascii="Calibri" w:hAnsi="Calibri"/>
                <w:b/>
                <w:i w:val="0"/>
                <w:color w:val="FFFFFF"/>
                <w:sz w:val="20"/>
              </w:rPr>
              <w:t>Porcentaje</w:t>
            </w:r>
          </w:p>
        </w:tc>
      </w:tr>
      <w:tr>
        <w:tc>
          <w:tcPr>
            <w:tcW w:type="dxa" w:w="3135"/>
            <w:shd w:fill="F2F2F2"/>
          </w:tcPr>
          <w:p>
            <w:r/>
            <w:r>
              <w:rPr>
                <w:rFonts w:ascii="Calibri" w:hAnsi="Calibri"/>
                <w:b w:val="0"/>
                <w:i w:val="0"/>
                <w:color w:val="404040"/>
                <w:sz w:val="20"/>
              </w:rPr>
              <w:t>no</w:t>
            </w:r>
          </w:p>
        </w:tc>
        <w:tc>
          <w:tcPr>
            <w:tcW w:type="dxa" w:w="3135"/>
            <w:shd w:fill="F2F2F2"/>
          </w:tcPr>
          <w:p>
            <w:r/>
            <w:r>
              <w:rPr>
                <w:rFonts w:ascii="Calibri" w:hAnsi="Calibri"/>
                <w:b w:val="0"/>
                <w:i w:val="0"/>
                <w:color w:val="404040"/>
                <w:sz w:val="20"/>
              </w:rPr>
              <w:t>35.654</w:t>
            </w:r>
          </w:p>
        </w:tc>
        <w:tc>
          <w:tcPr>
            <w:tcW w:type="dxa" w:w="3135"/>
            <w:shd w:fill="F2F2F2"/>
          </w:tcPr>
          <w:p>
            <w:r/>
            <w:r>
              <w:rPr>
                <w:rFonts w:ascii="Calibri" w:hAnsi="Calibri"/>
                <w:b w:val="0"/>
                <w:i w:val="0"/>
                <w:color w:val="404040"/>
                <w:sz w:val="20"/>
              </w:rPr>
              <w:t>88.72%</w:t>
            </w:r>
          </w:p>
        </w:tc>
      </w:tr>
      <w:tr>
        <w:tc>
          <w:tcPr>
            <w:tcW w:type="dxa" w:w="3135"/>
          </w:tcPr>
          <w:p>
            <w:r/>
            <w:r>
              <w:rPr>
                <w:rFonts w:ascii="Calibri" w:hAnsi="Calibri"/>
                <w:b w:val="0"/>
                <w:i w:val="0"/>
                <w:color w:val="404040"/>
                <w:sz w:val="20"/>
              </w:rPr>
              <w:t>yes</w:t>
            </w:r>
          </w:p>
        </w:tc>
        <w:tc>
          <w:tcPr>
            <w:tcW w:type="dxa" w:w="3135"/>
          </w:tcPr>
          <w:p>
            <w:r/>
            <w:r>
              <w:rPr>
                <w:rFonts w:ascii="Calibri" w:hAnsi="Calibri"/>
                <w:b w:val="0"/>
                <w:i w:val="0"/>
                <w:color w:val="404040"/>
                <w:sz w:val="20"/>
              </w:rPr>
              <w:t>4.532</w:t>
            </w:r>
          </w:p>
        </w:tc>
        <w:tc>
          <w:tcPr>
            <w:tcW w:type="dxa" w:w="3135"/>
          </w:tcPr>
          <w:p>
            <w:r/>
            <w:r>
              <w:rPr>
                <w:rFonts w:ascii="Calibri" w:hAnsi="Calibri"/>
                <w:b w:val="0"/>
                <w:i w:val="0"/>
                <w:color w:val="404040"/>
                <w:sz w:val="20"/>
              </w:rPr>
              <w:t>11.28%</w:t>
            </w:r>
          </w:p>
        </w:tc>
      </w:tr>
    </w:tbl>
    <w:p>
      <w:pPr>
        <w:spacing w:after="120"/>
      </w:pPr>
      <w:r>
        <w:rPr>
          <w:rFonts w:ascii="Calibri" w:hAnsi="Calibri"/>
          <w:b/>
          <w:i w:val="0"/>
          <w:color w:val="404040"/>
          <w:sz w:val="22"/>
        </w:rPr>
        <w:t>Desbalance de clases: La proporción es de 7.87:1 (no vs yes). Este desbalance severo deberá ser tratado en la fase de modelado predictivo (Tarea 3) mediante técnicas como SMOTE, class_weight="balanced", o ajuste del threshold de decisión.</w:t>
      </w:r>
    </w:p>
    <w:p>
      <w:pPr>
        <w:jc w:val="center"/>
      </w:pPr>
      <w:r>
        <w:drawing>
          <wp:inline xmlns:a="http://schemas.openxmlformats.org/drawingml/2006/main" xmlns:pic="http://schemas.openxmlformats.org/drawingml/2006/picture">
            <wp:extent cx="5486400" cy="5936353"/>
            <wp:docPr id="14" name="Picture 14"/>
            <wp:cNvGraphicFramePr>
              <a:graphicFrameLocks noChangeAspect="1"/>
            </wp:cNvGraphicFramePr>
            <a:graphic>
              <a:graphicData uri="http://schemas.openxmlformats.org/drawingml/2006/picture">
                <pic:pic>
                  <pic:nvPicPr>
                    <pic:cNvPr id="0" name="fig03_variable_target.png"/>
                    <pic:cNvPicPr/>
                  </pic:nvPicPr>
                  <pic:blipFill>
                    <a:blip r:embed="rId22"/>
                    <a:stretch>
                      <a:fillRect/>
                    </a:stretch>
                  </pic:blipFill>
                  <pic:spPr>
                    <a:xfrm>
                      <a:off x="0" y="0"/>
                      <a:ext cx="5486400" cy="5936353"/>
                    </a:xfrm>
                    <a:prstGeom prst="rect"/>
                  </pic:spPr>
                </pic:pic>
              </a:graphicData>
            </a:graphic>
          </wp:inline>
        </w:drawing>
      </w:r>
    </w:p>
    <w:p>
      <w:pPr>
        <w:jc w:val="center"/>
      </w:pPr>
      <w:r>
        <w:rPr>
          <w:rFonts w:ascii="Calibri" w:hAnsi="Calibri"/>
          <w:i/>
          <w:color w:val="808080"/>
          <w:sz w:val="18"/>
        </w:rPr>
        <w:t>Figura 4. Distribución de la variable target (subscribed) mostrando el ratio de desbalance 7.87:1. El 88.72% de los registros corresponden a no suscripción.</w:t>
      </w:r>
    </w:p>
    <w:p>
      <w:pPr>
        <w:spacing w:before="120" w:after="120"/>
      </w:pPr>
    </w:p>
    <w:p>
      <w:pPr>
        <w:pStyle w:val="Heading2"/>
      </w:pPr>
      <w:r>
        <w:rPr>
          <w:rFonts w:ascii="Calibri" w:hAnsi="Calibri"/>
          <w:color w:val="1F3864"/>
        </w:rPr>
        <w:t>5.5 Correlaciones y Multicolinealidad</w:t>
      </w:r>
    </w:p>
    <w:p>
      <w:pPr>
        <w:spacing w:after="120"/>
      </w:pPr>
      <w:r>
        <w:rPr>
          <w:rFonts w:ascii="Calibri" w:hAnsi="Calibri"/>
          <w:b w:val="0"/>
          <w:i w:val="0"/>
          <w:color w:val="404040"/>
          <w:sz w:val="22"/>
        </w:rPr>
        <w:t>Pares de variables macroeconómicas con alta multicolinealidad (|r| &gt; 0.70):</w:t>
      </w:r>
    </w:p>
    <w:p>
      <w:pPr>
        <w:jc w:val="center"/>
      </w:pPr>
      <w:r>
        <w:drawing>
          <wp:inline xmlns:a="http://schemas.openxmlformats.org/drawingml/2006/main" xmlns:pic="http://schemas.openxmlformats.org/drawingml/2006/picture">
            <wp:extent cx="5486400" cy="4955908"/>
            <wp:docPr id="13" name="Picture 13"/>
            <wp:cNvGraphicFramePr>
              <a:graphicFrameLocks noChangeAspect="1"/>
            </wp:cNvGraphicFramePr>
            <a:graphic>
              <a:graphicData uri="http://schemas.openxmlformats.org/drawingml/2006/picture">
                <pic:pic>
                  <pic:nvPicPr>
                    <pic:cNvPr id="0" name="fig04_heatmap_correlacion.png"/>
                    <pic:cNvPicPr/>
                  </pic:nvPicPr>
                  <pic:blipFill>
                    <a:blip r:embed="rId21"/>
                    <a:stretch>
                      <a:fillRect/>
                    </a:stretch>
                  </pic:blipFill>
                  <pic:spPr>
                    <a:xfrm>
                      <a:off x="0" y="0"/>
                      <a:ext cx="5486400" cy="4955908"/>
                    </a:xfrm>
                    <a:prstGeom prst="rect"/>
                  </pic:spPr>
                </pic:pic>
              </a:graphicData>
            </a:graphic>
          </wp:inline>
        </w:drawing>
      </w:r>
    </w:p>
    <w:p>
      <w:pPr>
        <w:jc w:val="center"/>
      </w:pPr>
      <w:r>
        <w:rPr>
          <w:rFonts w:ascii="Calibri" w:hAnsi="Calibri"/>
          <w:i/>
          <w:color w:val="808080"/>
          <w:sz w:val="18"/>
        </w:rPr>
        <w:t>Figura 5. Matriz de correlación de Pearson para variables numéricas. Se destacan las altas correlaciones entre emp.var.rate, euribor3m y nr.employed (r &gt; 0.90).</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Variable 1</w:t>
            </w:r>
          </w:p>
        </w:tc>
        <w:tc>
          <w:tcPr>
            <w:tcW w:type="dxa" w:w="2351"/>
            <w:shd w:fill="1F3864"/>
          </w:tcPr>
          <w:p>
            <w:pPr>
              <w:jc w:val="center"/>
            </w:pPr>
            <w:r/>
            <w:r>
              <w:rPr>
                <w:rFonts w:ascii="Calibri" w:hAnsi="Calibri"/>
                <w:b/>
                <w:i w:val="0"/>
                <w:color w:val="FFFFFF"/>
                <w:sz w:val="20"/>
              </w:rPr>
              <w:t>Variable 2</w:t>
            </w:r>
          </w:p>
        </w:tc>
        <w:tc>
          <w:tcPr>
            <w:tcW w:type="dxa" w:w="2351"/>
            <w:shd w:fill="1F3864"/>
          </w:tcPr>
          <w:p>
            <w:pPr>
              <w:jc w:val="center"/>
            </w:pPr>
            <w:r/>
            <w:r>
              <w:rPr>
                <w:rFonts w:ascii="Calibri" w:hAnsi="Calibri"/>
                <w:b/>
                <w:i w:val="0"/>
                <w:color w:val="FFFFFF"/>
                <w:sz w:val="20"/>
              </w:rPr>
              <w:t>Correlación</w:t>
            </w:r>
          </w:p>
        </w:tc>
        <w:tc>
          <w:tcPr>
            <w:tcW w:type="dxa" w:w="2351"/>
            <w:shd w:fill="1F3864"/>
          </w:tcPr>
          <w:p>
            <w:pPr>
              <w:jc w:val="center"/>
            </w:pPr>
            <w:r/>
            <w:r>
              <w:rPr>
                <w:rFonts w:ascii="Calibri" w:hAnsi="Calibri"/>
                <w:b/>
                <w:i w:val="0"/>
                <w:color w:val="FFFFFF"/>
                <w:sz w:val="20"/>
              </w:rPr>
              <w:t>Implicación</w:t>
            </w:r>
          </w:p>
        </w:tc>
      </w:tr>
      <w:tr>
        <w:tc>
          <w:tcPr>
            <w:tcW w:type="dxa" w:w="2351"/>
            <w:shd w:fill="F2F2F2"/>
          </w:tcPr>
          <w:p>
            <w:r/>
            <w:r>
              <w:rPr>
                <w:rFonts w:ascii="Calibri" w:hAnsi="Calibri"/>
                <w:b w:val="0"/>
                <w:i w:val="0"/>
                <w:color w:val="404040"/>
                <w:sz w:val="20"/>
              </w:rPr>
              <w:t>emp.var.rate</w:t>
            </w:r>
          </w:p>
        </w:tc>
        <w:tc>
          <w:tcPr>
            <w:tcW w:type="dxa" w:w="2351"/>
            <w:shd w:fill="F2F2F2"/>
          </w:tcPr>
          <w:p>
            <w:r/>
            <w:r>
              <w:rPr>
                <w:rFonts w:ascii="Calibri" w:hAnsi="Calibri"/>
                <w:b w:val="0"/>
                <w:i w:val="0"/>
                <w:color w:val="404040"/>
                <w:sz w:val="20"/>
              </w:rPr>
              <w:t>euribor3m</w:t>
            </w:r>
          </w:p>
        </w:tc>
        <w:tc>
          <w:tcPr>
            <w:tcW w:type="dxa" w:w="2351"/>
            <w:shd w:fill="F2F2F2"/>
          </w:tcPr>
          <w:p>
            <w:r/>
            <w:r>
              <w:rPr>
                <w:rFonts w:ascii="Calibri" w:hAnsi="Calibri"/>
                <w:b w:val="0"/>
                <w:i w:val="0"/>
                <w:color w:val="404040"/>
                <w:sz w:val="20"/>
              </w:rPr>
              <w:t>0.9723</w:t>
            </w:r>
          </w:p>
        </w:tc>
        <w:tc>
          <w:tcPr>
            <w:tcW w:type="dxa" w:w="2351"/>
            <w:shd w:fill="F2F2F2"/>
          </w:tcPr>
          <w:p>
            <w:r/>
            <w:r>
              <w:rPr>
                <w:rFonts w:ascii="Calibri" w:hAnsi="Calibri"/>
                <w:b w:val="0"/>
                <w:i w:val="0"/>
                <w:color w:val="404040"/>
                <w:sz w:val="20"/>
              </w:rPr>
              <w:t>Prácticamente la misma información</w:t>
            </w:r>
          </w:p>
        </w:tc>
      </w:tr>
      <w:tr>
        <w:tc>
          <w:tcPr>
            <w:tcW w:type="dxa" w:w="2351"/>
          </w:tcPr>
          <w:p>
            <w:r/>
            <w:r>
              <w:rPr>
                <w:rFonts w:ascii="Calibri" w:hAnsi="Calibri"/>
                <w:b w:val="0"/>
                <w:i w:val="0"/>
                <w:color w:val="404040"/>
                <w:sz w:val="20"/>
              </w:rPr>
              <w:t>emp.var.rate</w:t>
            </w:r>
          </w:p>
        </w:tc>
        <w:tc>
          <w:tcPr>
            <w:tcW w:type="dxa" w:w="2351"/>
          </w:tcPr>
          <w:p>
            <w:r/>
            <w:r>
              <w:rPr>
                <w:rFonts w:ascii="Calibri" w:hAnsi="Calibri"/>
                <w:b w:val="0"/>
                <w:i w:val="0"/>
                <w:color w:val="404040"/>
                <w:sz w:val="20"/>
              </w:rPr>
              <w:t>nr.employed</w:t>
            </w:r>
          </w:p>
        </w:tc>
        <w:tc>
          <w:tcPr>
            <w:tcW w:type="dxa" w:w="2351"/>
          </w:tcPr>
          <w:p>
            <w:r/>
            <w:r>
              <w:rPr>
                <w:rFonts w:ascii="Calibri" w:hAnsi="Calibri"/>
                <w:b w:val="0"/>
                <w:i w:val="0"/>
                <w:color w:val="404040"/>
                <w:sz w:val="20"/>
              </w:rPr>
              <w:t>0.9069</w:t>
            </w:r>
          </w:p>
        </w:tc>
        <w:tc>
          <w:tcPr>
            <w:tcW w:type="dxa" w:w="2351"/>
          </w:tcPr>
          <w:p>
            <w:r/>
            <w:r>
              <w:rPr>
                <w:rFonts w:ascii="Calibri" w:hAnsi="Calibri"/>
                <w:b w:val="0"/>
                <w:i w:val="0"/>
                <w:color w:val="404040"/>
                <w:sz w:val="20"/>
              </w:rPr>
              <w:t>Alta redundancia</w:t>
            </w:r>
          </w:p>
        </w:tc>
      </w:tr>
      <w:tr>
        <w:tc>
          <w:tcPr>
            <w:tcW w:type="dxa" w:w="2351"/>
            <w:shd w:fill="F2F2F2"/>
          </w:tcPr>
          <w:p>
            <w:r/>
            <w:r>
              <w:rPr>
                <w:rFonts w:ascii="Calibri" w:hAnsi="Calibri"/>
                <w:b w:val="0"/>
                <w:i w:val="0"/>
                <w:color w:val="404040"/>
                <w:sz w:val="20"/>
              </w:rPr>
              <w:t>euribor3m</w:t>
            </w:r>
          </w:p>
        </w:tc>
        <w:tc>
          <w:tcPr>
            <w:tcW w:type="dxa" w:w="2351"/>
            <w:shd w:fill="F2F2F2"/>
          </w:tcPr>
          <w:p>
            <w:r/>
            <w:r>
              <w:rPr>
                <w:rFonts w:ascii="Calibri" w:hAnsi="Calibri"/>
                <w:b w:val="0"/>
                <w:i w:val="0"/>
                <w:color w:val="404040"/>
                <w:sz w:val="20"/>
              </w:rPr>
              <w:t>nr.employed</w:t>
            </w:r>
          </w:p>
        </w:tc>
        <w:tc>
          <w:tcPr>
            <w:tcW w:type="dxa" w:w="2351"/>
            <w:shd w:fill="F2F2F2"/>
          </w:tcPr>
          <w:p>
            <w:r/>
            <w:r>
              <w:rPr>
                <w:rFonts w:ascii="Calibri" w:hAnsi="Calibri"/>
                <w:b w:val="0"/>
                <w:i w:val="0"/>
                <w:color w:val="404040"/>
                <w:sz w:val="20"/>
              </w:rPr>
              <w:t>0.9454</w:t>
            </w:r>
          </w:p>
        </w:tc>
        <w:tc>
          <w:tcPr>
            <w:tcW w:type="dxa" w:w="2351"/>
            <w:shd w:fill="F2F2F2"/>
          </w:tcPr>
          <w:p>
            <w:r/>
            <w:r>
              <w:rPr>
                <w:rFonts w:ascii="Calibri" w:hAnsi="Calibri"/>
                <w:b w:val="0"/>
                <w:i w:val="0"/>
                <w:color w:val="404040"/>
                <w:sz w:val="20"/>
              </w:rPr>
              <w:t>Alta redundancia</w:t>
            </w:r>
          </w:p>
        </w:tc>
      </w:tr>
    </w:tbl>
    <w:p>
      <w:pPr>
        <w:spacing w:after="120"/>
      </w:pPr>
      <w:r>
        <w:rPr>
          <w:rFonts w:ascii="Calibri" w:hAnsi="Calibri"/>
          <w:b w:val="0"/>
          <w:i/>
          <w:color w:val="404040"/>
          <w:sz w:val="22"/>
        </w:rPr>
        <w:t>Recomendación para modelado: emp.var.rate, euribor3m y nr.employed (r &gt; 0.90) no deben entrar juntas al modelo. Se recomienda usar solo euribor_3m_rate (la más interpretable) o aplicar PCA para crear un componente macroeconómico único.</w:t>
      </w:r>
    </w:p>
    <w:p>
      <w:r>
        <w:br w:type="page"/>
      </w:r>
    </w:p>
    <w:p>
      <w:pPr>
        <w:pStyle w:val="Heading1"/>
      </w:pPr>
      <w:r>
        <w:rPr>
          <w:rFonts w:ascii="Calibri" w:hAnsi="Calibri"/>
          <w:color w:val="1F3864"/>
        </w:rPr>
        <w:t>6. Relación Demográfica–Suscripción (Sub-tarea 1.3)</w:t>
      </w:r>
    </w:p>
    <w:p>
      <w:pPr>
        <w:spacing w:after="120"/>
      </w:pPr>
      <w:r>
        <w:rPr>
          <w:rFonts w:ascii="Calibri" w:hAnsi="Calibri"/>
          <w:b w:val="0"/>
          <w:i w:val="0"/>
          <w:color w:val="404040"/>
          <w:sz w:val="22"/>
        </w:rPr>
        <w:t>Esta sección analiza la relación entre las características demográficas del cliente y la probabilidad de contratar el depósito. Se utilizaron boxplots (celda 16), cálculos de success_rate (celdas 18-25) y tablas de contingencia normalizadas (celdas 30-34).</w:t>
      </w:r>
    </w:p>
    <w:p>
      <w:pPr>
        <w:pStyle w:val="Heading2"/>
      </w:pPr>
      <w:r>
        <w:rPr>
          <w:rFonts w:ascii="Calibri" w:hAnsi="Calibri"/>
          <w:color w:val="1F3864"/>
        </w:rPr>
        <w:t>6.1 Edad</w:t>
      </w:r>
    </w:p>
    <w:p>
      <w:pPr>
        <w:spacing w:after="120"/>
      </w:pPr>
      <w:r>
        <w:rPr>
          <w:rFonts w:ascii="Calibri" w:hAnsi="Calibri"/>
          <w:b w:val="0"/>
          <w:i w:val="0"/>
          <w:color w:val="404040"/>
          <w:sz w:val="22"/>
        </w:rPr>
        <w:t>El boxplot de edad vs suscripción (celda 16) muestra que los suscriptores tienen una distribución de edad más dispersa, con medianas similares pero mayor presencia en los extremos.</w:t>
      </w:r>
    </w:p>
    <w:p>
      <w:pPr>
        <w:jc w:val="center"/>
      </w:pPr>
      <w:r>
        <w:drawing>
          <wp:inline xmlns:a="http://schemas.openxmlformats.org/drawingml/2006/main" xmlns:pic="http://schemas.openxmlformats.org/drawingml/2006/picture">
            <wp:extent cx="5486400" cy="3773057"/>
            <wp:docPr id="12" name="Picture 12"/>
            <wp:cNvGraphicFramePr>
              <a:graphicFrameLocks noChangeAspect="1"/>
            </wp:cNvGraphicFramePr>
            <a:graphic>
              <a:graphicData uri="http://schemas.openxmlformats.org/drawingml/2006/picture">
                <pic:pic>
                  <pic:nvPicPr>
                    <pic:cNvPr id="0" name="fig05_boxplot_edad_suscripcion.png"/>
                    <pic:cNvPicPr/>
                  </pic:nvPicPr>
                  <pic:blipFill>
                    <a:blip r:embed="rId20"/>
                    <a:stretch>
                      <a:fillRect/>
                    </a:stretch>
                  </pic:blipFill>
                  <pic:spPr>
                    <a:xfrm>
                      <a:off x="0" y="0"/>
                      <a:ext cx="5486400" cy="3773057"/>
                    </a:xfrm>
                    <a:prstGeom prst="rect"/>
                  </pic:spPr>
                </pic:pic>
              </a:graphicData>
            </a:graphic>
          </wp:inline>
        </w:drawing>
      </w:r>
    </w:p>
    <w:p>
      <w:pPr>
        <w:jc w:val="center"/>
      </w:pPr>
      <w:r>
        <w:rPr>
          <w:rFonts w:ascii="Calibri" w:hAnsi="Calibri"/>
          <w:i/>
          <w:color w:val="808080"/>
          <w:sz w:val="18"/>
        </w:rPr>
        <w:t>Figura 6. Boxplot de distribución de edad por resultado de suscripción. Los suscriptores muestran mayor dispersión y presencia en los extremos etarios. Generado en la celda 16 del notebook.</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Banda Etaria</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vs. Media (11.28%)</w:t>
            </w:r>
          </w:p>
        </w:tc>
      </w:tr>
      <w:tr>
        <w:tc>
          <w:tcPr>
            <w:tcW w:type="dxa" w:w="2351"/>
            <w:shd w:fill="F2F2F2"/>
          </w:tcPr>
          <w:p>
            <w:r/>
            <w:r>
              <w:rPr>
                <w:rFonts w:ascii="Calibri" w:hAnsi="Calibri"/>
                <w:b w:val="0"/>
                <w:i w:val="0"/>
                <w:color w:val="404040"/>
                <w:sz w:val="20"/>
              </w:rPr>
              <w:t>&lt; 30 años</w:t>
            </w:r>
          </w:p>
        </w:tc>
        <w:tc>
          <w:tcPr>
            <w:tcW w:type="dxa" w:w="2351"/>
            <w:shd w:fill="F2F2F2"/>
          </w:tcPr>
          <w:p>
            <w:r/>
            <w:r>
              <w:rPr>
                <w:rFonts w:ascii="Calibri" w:hAnsi="Calibri"/>
                <w:b w:val="0"/>
                <w:i w:val="0"/>
                <w:color w:val="404040"/>
                <w:sz w:val="20"/>
              </w:rPr>
              <w:t>7.206</w:t>
            </w:r>
          </w:p>
        </w:tc>
        <w:tc>
          <w:tcPr>
            <w:tcW w:type="dxa" w:w="2351"/>
            <w:shd w:fill="F2F2F2"/>
          </w:tcPr>
          <w:p>
            <w:r/>
            <w:r>
              <w:rPr>
                <w:rFonts w:ascii="Calibri" w:hAnsi="Calibri"/>
                <w:b w:val="0"/>
                <w:i w:val="0"/>
                <w:color w:val="404040"/>
                <w:sz w:val="20"/>
              </w:rPr>
              <w:t>15.21%</w:t>
            </w:r>
          </w:p>
        </w:tc>
        <w:tc>
          <w:tcPr>
            <w:tcW w:type="dxa" w:w="2351"/>
            <w:shd w:fill="F2F2F2"/>
          </w:tcPr>
          <w:p>
            <w:r/>
            <w:r>
              <w:rPr>
                <w:rFonts w:ascii="Calibri" w:hAnsi="Calibri"/>
                <w:b w:val="0"/>
                <w:i w:val="0"/>
                <w:color w:val="404040"/>
                <w:sz w:val="20"/>
              </w:rPr>
              <w:t>+3.93 pp</w:t>
            </w:r>
          </w:p>
        </w:tc>
      </w:tr>
      <w:tr>
        <w:tc>
          <w:tcPr>
            <w:tcW w:type="dxa" w:w="2351"/>
          </w:tcPr>
          <w:p>
            <w:r/>
            <w:r>
              <w:rPr>
                <w:rFonts w:ascii="Calibri" w:hAnsi="Calibri"/>
                <w:b w:val="0"/>
                <w:i w:val="0"/>
                <w:color w:val="404040"/>
                <w:sz w:val="20"/>
              </w:rPr>
              <w:t>30-40 años</w:t>
            </w:r>
          </w:p>
        </w:tc>
        <w:tc>
          <w:tcPr>
            <w:tcW w:type="dxa" w:w="2351"/>
          </w:tcPr>
          <w:p>
            <w:r/>
            <w:r>
              <w:rPr>
                <w:rFonts w:ascii="Calibri" w:hAnsi="Calibri"/>
                <w:b w:val="0"/>
                <w:i w:val="0"/>
                <w:color w:val="404040"/>
                <w:sz w:val="20"/>
              </w:rPr>
              <w:t>15.991</w:t>
            </w:r>
          </w:p>
        </w:tc>
        <w:tc>
          <w:tcPr>
            <w:tcW w:type="dxa" w:w="2351"/>
          </w:tcPr>
          <w:p>
            <w:r/>
            <w:r>
              <w:rPr>
                <w:rFonts w:ascii="Calibri" w:hAnsi="Calibri"/>
                <w:b w:val="0"/>
                <w:i w:val="0"/>
                <w:color w:val="404040"/>
                <w:sz w:val="20"/>
              </w:rPr>
              <w:t>9.81%</w:t>
            </w:r>
          </w:p>
        </w:tc>
        <w:tc>
          <w:tcPr>
            <w:tcW w:type="dxa" w:w="2351"/>
          </w:tcPr>
          <w:p>
            <w:r/>
            <w:r>
              <w:rPr>
                <w:rFonts w:ascii="Calibri" w:hAnsi="Calibri"/>
                <w:b w:val="0"/>
                <w:i w:val="0"/>
                <w:color w:val="404040"/>
                <w:sz w:val="20"/>
              </w:rPr>
              <w:t>-1.47 pp</w:t>
            </w:r>
          </w:p>
        </w:tc>
      </w:tr>
      <w:tr>
        <w:tc>
          <w:tcPr>
            <w:tcW w:type="dxa" w:w="2351"/>
            <w:shd w:fill="F2F2F2"/>
          </w:tcPr>
          <w:p>
            <w:r/>
            <w:r>
              <w:rPr>
                <w:rFonts w:ascii="Calibri" w:hAnsi="Calibri"/>
                <w:b w:val="0"/>
                <w:i w:val="0"/>
                <w:color w:val="404040"/>
                <w:sz w:val="20"/>
              </w:rPr>
              <w:t>41-50 años</w:t>
            </w:r>
          </w:p>
        </w:tc>
        <w:tc>
          <w:tcPr>
            <w:tcW w:type="dxa" w:w="2351"/>
            <w:shd w:fill="F2F2F2"/>
          </w:tcPr>
          <w:p>
            <w:r/>
            <w:r>
              <w:rPr>
                <w:rFonts w:ascii="Calibri" w:hAnsi="Calibri"/>
                <w:b w:val="0"/>
                <w:i w:val="0"/>
                <w:color w:val="404040"/>
                <w:sz w:val="20"/>
              </w:rPr>
              <w:t>9.982</w:t>
            </w:r>
          </w:p>
        </w:tc>
        <w:tc>
          <w:tcPr>
            <w:tcW w:type="dxa" w:w="2351"/>
            <w:shd w:fill="F2F2F2"/>
          </w:tcPr>
          <w:p>
            <w:r/>
            <w:r>
              <w:rPr>
                <w:rFonts w:ascii="Calibri" w:hAnsi="Calibri"/>
                <w:b w:val="0"/>
                <w:i w:val="0"/>
                <w:color w:val="404040"/>
                <w:sz w:val="20"/>
              </w:rPr>
              <w:t>8.13%</w:t>
            </w:r>
          </w:p>
        </w:tc>
        <w:tc>
          <w:tcPr>
            <w:tcW w:type="dxa" w:w="2351"/>
            <w:shd w:fill="F2F2F2"/>
          </w:tcPr>
          <w:p>
            <w:r/>
            <w:r>
              <w:rPr>
                <w:rFonts w:ascii="Calibri" w:hAnsi="Calibri"/>
                <w:b w:val="0"/>
                <w:i w:val="0"/>
                <w:color w:val="404040"/>
                <w:sz w:val="20"/>
              </w:rPr>
              <w:t>-3.15 pp</w:t>
            </w:r>
          </w:p>
        </w:tc>
      </w:tr>
      <w:tr>
        <w:tc>
          <w:tcPr>
            <w:tcW w:type="dxa" w:w="2351"/>
          </w:tcPr>
          <w:p>
            <w:r/>
            <w:r>
              <w:rPr>
                <w:rFonts w:ascii="Calibri" w:hAnsi="Calibri"/>
                <w:b w:val="0"/>
                <w:i w:val="0"/>
                <w:color w:val="404040"/>
                <w:sz w:val="20"/>
              </w:rPr>
              <w:t>51-60 años</w:t>
            </w:r>
          </w:p>
        </w:tc>
        <w:tc>
          <w:tcPr>
            <w:tcW w:type="dxa" w:w="2351"/>
          </w:tcPr>
          <w:p>
            <w:r/>
            <w:r>
              <w:rPr>
                <w:rFonts w:ascii="Calibri" w:hAnsi="Calibri"/>
                <w:b w:val="0"/>
                <w:i w:val="0"/>
                <w:color w:val="404040"/>
                <w:sz w:val="20"/>
              </w:rPr>
              <w:t>6.118</w:t>
            </w:r>
          </w:p>
        </w:tc>
        <w:tc>
          <w:tcPr>
            <w:tcW w:type="dxa" w:w="2351"/>
          </w:tcPr>
          <w:p>
            <w:r/>
            <w:r>
              <w:rPr>
                <w:rFonts w:ascii="Calibri" w:hAnsi="Calibri"/>
                <w:b w:val="0"/>
                <w:i w:val="0"/>
                <w:color w:val="404040"/>
                <w:sz w:val="20"/>
              </w:rPr>
              <w:t>10.66%</w:t>
            </w:r>
          </w:p>
        </w:tc>
        <w:tc>
          <w:tcPr>
            <w:tcW w:type="dxa" w:w="2351"/>
          </w:tcPr>
          <w:p>
            <w:r/>
            <w:r>
              <w:rPr>
                <w:rFonts w:ascii="Calibri" w:hAnsi="Calibri"/>
                <w:b w:val="0"/>
                <w:i w:val="0"/>
                <w:color w:val="404040"/>
                <w:sz w:val="20"/>
              </w:rPr>
              <w:t>-0.62 pp</w:t>
            </w:r>
          </w:p>
        </w:tc>
      </w:tr>
      <w:tr>
        <w:tc>
          <w:tcPr>
            <w:tcW w:type="dxa" w:w="2351"/>
            <w:shd w:fill="F2F2F2"/>
          </w:tcPr>
          <w:p>
            <w:r/>
            <w:r>
              <w:rPr>
                <w:rFonts w:ascii="Calibri" w:hAnsi="Calibri"/>
                <w:b w:val="0"/>
                <w:i w:val="0"/>
                <w:color w:val="404040"/>
                <w:sz w:val="20"/>
              </w:rPr>
              <w:t>60+ años</w:t>
            </w:r>
          </w:p>
        </w:tc>
        <w:tc>
          <w:tcPr>
            <w:tcW w:type="dxa" w:w="2351"/>
            <w:shd w:fill="F2F2F2"/>
          </w:tcPr>
          <w:p>
            <w:r/>
            <w:r>
              <w:rPr>
                <w:rFonts w:ascii="Calibri" w:hAnsi="Calibri"/>
                <w:b w:val="0"/>
                <w:i w:val="0"/>
                <w:color w:val="404040"/>
                <w:sz w:val="20"/>
              </w:rPr>
              <w:t>889</w:t>
            </w:r>
          </w:p>
        </w:tc>
        <w:tc>
          <w:tcPr>
            <w:tcW w:type="dxa" w:w="2351"/>
            <w:shd w:fill="F2F2F2"/>
          </w:tcPr>
          <w:p>
            <w:r/>
            <w:r>
              <w:rPr>
                <w:rFonts w:ascii="Calibri" w:hAnsi="Calibri"/>
                <w:b w:val="0"/>
                <w:i w:val="0"/>
                <w:color w:val="404040"/>
                <w:sz w:val="20"/>
              </w:rPr>
              <w:t>45.33%</w:t>
            </w:r>
          </w:p>
        </w:tc>
        <w:tc>
          <w:tcPr>
            <w:tcW w:type="dxa" w:w="2351"/>
            <w:shd w:fill="F2F2F2"/>
          </w:tcPr>
          <w:p>
            <w:r/>
            <w:r>
              <w:rPr>
                <w:rFonts w:ascii="Calibri" w:hAnsi="Calibri"/>
                <w:b w:val="0"/>
                <w:i w:val="0"/>
                <w:color w:val="404040"/>
                <w:sz w:val="20"/>
              </w:rPr>
              <w:t>+34.05 pp</w:t>
            </w:r>
          </w:p>
        </w:tc>
      </w:tr>
    </w:tbl>
    <w:p>
      <w:pPr>
        <w:spacing w:after="120"/>
      </w:pPr>
      <w:r>
        <w:rPr>
          <w:rFonts w:ascii="Calibri" w:hAnsi="Calibri"/>
          <w:b/>
          <w:i w:val="0"/>
          <w:color w:val="404040"/>
          <w:sz w:val="22"/>
        </w:rPr>
        <w:t>Hallazgo: El patrón muestra una curva en "U": los jóvenes (&lt;30, 15.21%) y especialmente los mayores (60+, 45.33%) convierten muy por encima de la media, mientras que el rango central (30-50) tiene las tasas más bajas. Los mayores de 60 representan solo el 2.2% del dataset pero convierten casi 1 de cada 2.</w:t>
      </w:r>
    </w:p>
    <w:p>
      <w:pPr>
        <w:pStyle w:val="Heading2"/>
      </w:pPr>
      <w:r>
        <w:rPr>
          <w:rFonts w:ascii="Calibri" w:hAnsi="Calibri"/>
          <w:color w:val="1F3864"/>
        </w:rPr>
        <w:t>6.2 Tipo de Trabajo</w:t>
      </w:r>
    </w:p>
    <w:p>
      <w:pPr>
        <w:spacing w:after="120"/>
      </w:pPr>
      <w:r>
        <w:rPr>
          <w:rFonts w:ascii="Calibri" w:hAnsi="Calibri"/>
          <w:b w:val="0"/>
          <w:i w:val="0"/>
          <w:color w:val="404040"/>
          <w:sz w:val="22"/>
        </w:rPr>
        <w:t>La tabla de contingencia normalizada (celda 33) y los success_rate revelan:</w:t>
      </w:r>
    </w:p>
    <w:p>
      <w:pPr>
        <w:jc w:val="center"/>
      </w:pPr>
      <w:r>
        <w:drawing>
          <wp:inline xmlns:a="http://schemas.openxmlformats.org/drawingml/2006/main" xmlns:pic="http://schemas.openxmlformats.org/drawingml/2006/picture">
            <wp:extent cx="5486400" cy="2898508"/>
            <wp:docPr id="11" name="Picture 11"/>
            <wp:cNvGraphicFramePr>
              <a:graphicFrameLocks noChangeAspect="1"/>
            </wp:cNvGraphicFramePr>
            <a:graphic>
              <a:graphicData uri="http://schemas.openxmlformats.org/drawingml/2006/picture">
                <pic:pic>
                  <pic:nvPicPr>
                    <pic:cNvPr id="0" name="fig06_conversion_job_type.png"/>
                    <pic:cNvPicPr/>
                  </pic:nvPicPr>
                  <pic:blipFill>
                    <a:blip r:embed="rId19"/>
                    <a:stretch>
                      <a:fillRect/>
                    </a:stretch>
                  </pic:blipFill>
                  <pic:spPr>
                    <a:xfrm>
                      <a:off x="0" y="0"/>
                      <a:ext cx="5486400" cy="2898508"/>
                    </a:xfrm>
                    <a:prstGeom prst="rect"/>
                  </pic:spPr>
                </pic:pic>
              </a:graphicData>
            </a:graphic>
          </wp:inline>
        </w:drawing>
      </w:r>
    </w:p>
    <w:p>
      <w:pPr>
        <w:jc w:val="center"/>
      </w:pPr>
      <w:r>
        <w:rPr>
          <w:rFonts w:ascii="Calibri" w:hAnsi="Calibri"/>
          <w:i/>
          <w:color w:val="808080"/>
          <w:sz w:val="18"/>
        </w:rPr>
        <w:t>Figura 7. Tasa de conversión por tipo de trabajo, ordenada de menor a mayor. La línea roja discontinua indica la media global (11.28%). Student (30.99%) y retired (25.33%) destacan como top converters. Datos de la celda 33 del notebook.</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Trabajo</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Observación</w:t>
            </w:r>
          </w:p>
        </w:tc>
      </w:tr>
      <w:tr>
        <w:tc>
          <w:tcPr>
            <w:tcW w:type="dxa" w:w="2351"/>
            <w:shd w:fill="F2F2F2"/>
          </w:tcPr>
          <w:p>
            <w:r/>
            <w:r>
              <w:rPr>
                <w:rFonts w:ascii="Calibri" w:hAnsi="Calibri"/>
                <w:b w:val="0"/>
                <w:i w:val="0"/>
                <w:color w:val="404040"/>
                <w:sz w:val="20"/>
              </w:rPr>
              <w:t>student</w:t>
            </w:r>
          </w:p>
        </w:tc>
        <w:tc>
          <w:tcPr>
            <w:tcW w:type="dxa" w:w="2351"/>
            <w:shd w:fill="F2F2F2"/>
          </w:tcPr>
          <w:p>
            <w:r/>
            <w:r>
              <w:rPr>
                <w:rFonts w:ascii="Calibri" w:hAnsi="Calibri"/>
                <w:b w:val="0"/>
                <w:i w:val="0"/>
                <w:color w:val="404040"/>
                <w:sz w:val="20"/>
              </w:rPr>
              <w:t>852</w:t>
            </w:r>
          </w:p>
        </w:tc>
        <w:tc>
          <w:tcPr>
            <w:tcW w:type="dxa" w:w="2351"/>
            <w:shd w:fill="F2F2F2"/>
          </w:tcPr>
          <w:p>
            <w:r/>
            <w:r>
              <w:rPr>
                <w:rFonts w:ascii="Calibri" w:hAnsi="Calibri"/>
                <w:b w:val="0"/>
                <w:i w:val="0"/>
                <w:color w:val="404040"/>
                <w:sz w:val="20"/>
              </w:rPr>
              <w:t>30.99%</w:t>
            </w:r>
          </w:p>
        </w:tc>
        <w:tc>
          <w:tcPr>
            <w:tcW w:type="dxa" w:w="2351"/>
            <w:shd w:fill="F2F2F2"/>
          </w:tcPr>
          <w:p>
            <w:r/>
            <w:r>
              <w:rPr>
                <w:rFonts w:ascii="Calibri" w:hAnsi="Calibri"/>
                <w:b w:val="0"/>
                <w:i w:val="0"/>
                <w:color w:val="404040"/>
                <w:sz w:val="20"/>
              </w:rPr>
              <w:t>★ Top converter — jóvenes en formación</w:t>
            </w:r>
          </w:p>
        </w:tc>
      </w:tr>
      <w:tr>
        <w:tc>
          <w:tcPr>
            <w:tcW w:type="dxa" w:w="2351"/>
          </w:tcPr>
          <w:p>
            <w:r/>
            <w:r>
              <w:rPr>
                <w:rFonts w:ascii="Calibri" w:hAnsi="Calibri"/>
                <w:b w:val="0"/>
                <w:i w:val="0"/>
                <w:color w:val="404040"/>
                <w:sz w:val="20"/>
              </w:rPr>
              <w:t>retired</w:t>
            </w:r>
          </w:p>
        </w:tc>
        <w:tc>
          <w:tcPr>
            <w:tcW w:type="dxa" w:w="2351"/>
          </w:tcPr>
          <w:p>
            <w:r/>
            <w:r>
              <w:rPr>
                <w:rFonts w:ascii="Calibri" w:hAnsi="Calibri"/>
                <w:b w:val="0"/>
                <w:i w:val="0"/>
                <w:color w:val="404040"/>
                <w:sz w:val="20"/>
              </w:rPr>
              <w:t>1.674</w:t>
            </w:r>
          </w:p>
        </w:tc>
        <w:tc>
          <w:tcPr>
            <w:tcW w:type="dxa" w:w="2351"/>
          </w:tcPr>
          <w:p>
            <w:r/>
            <w:r>
              <w:rPr>
                <w:rFonts w:ascii="Calibri" w:hAnsi="Calibri"/>
                <w:b w:val="0"/>
                <w:i w:val="0"/>
                <w:color w:val="404040"/>
                <w:sz w:val="20"/>
              </w:rPr>
              <w:t>25.33%</w:t>
            </w:r>
          </w:p>
        </w:tc>
        <w:tc>
          <w:tcPr>
            <w:tcW w:type="dxa" w:w="2351"/>
          </w:tcPr>
          <w:p>
            <w:r/>
            <w:r>
              <w:rPr>
                <w:rFonts w:ascii="Calibri" w:hAnsi="Calibri"/>
                <w:b w:val="0"/>
                <w:i w:val="0"/>
                <w:color w:val="404040"/>
                <w:sz w:val="20"/>
              </w:rPr>
              <w:t>★ Segundo mejor — perfil con ahorros</w:t>
            </w:r>
          </w:p>
        </w:tc>
      </w:tr>
      <w:tr>
        <w:tc>
          <w:tcPr>
            <w:tcW w:type="dxa" w:w="2351"/>
            <w:shd w:fill="F2F2F2"/>
          </w:tcPr>
          <w:p>
            <w:r/>
            <w:r>
              <w:rPr>
                <w:rFonts w:ascii="Calibri" w:hAnsi="Calibri"/>
                <w:b w:val="0"/>
                <w:i w:val="0"/>
                <w:color w:val="404040"/>
                <w:sz w:val="20"/>
              </w:rPr>
              <w:t>unemployed</w:t>
            </w:r>
          </w:p>
        </w:tc>
        <w:tc>
          <w:tcPr>
            <w:tcW w:type="dxa" w:w="2351"/>
            <w:shd w:fill="F2F2F2"/>
          </w:tcPr>
          <w:p>
            <w:r/>
            <w:r>
              <w:rPr>
                <w:rFonts w:ascii="Calibri" w:hAnsi="Calibri"/>
                <w:b w:val="0"/>
                <w:i w:val="0"/>
                <w:color w:val="404040"/>
                <w:sz w:val="20"/>
              </w:rPr>
              <w:t>987</w:t>
            </w:r>
          </w:p>
        </w:tc>
        <w:tc>
          <w:tcPr>
            <w:tcW w:type="dxa" w:w="2351"/>
            <w:shd w:fill="F2F2F2"/>
          </w:tcPr>
          <w:p>
            <w:r/>
            <w:r>
              <w:rPr>
                <w:rFonts w:ascii="Calibri" w:hAnsi="Calibri"/>
                <w:b w:val="0"/>
                <w:i w:val="0"/>
                <w:color w:val="404040"/>
                <w:sz w:val="20"/>
              </w:rPr>
              <w:t>14.49%</w:t>
            </w:r>
          </w:p>
        </w:tc>
        <w:tc>
          <w:tcPr>
            <w:tcW w:type="dxa" w:w="2351"/>
            <w:shd w:fill="F2F2F2"/>
          </w:tcPr>
          <w:p>
            <w:r/>
            <w:r>
              <w:rPr>
                <w:rFonts w:ascii="Calibri" w:hAnsi="Calibri"/>
                <w:b w:val="0"/>
                <w:i w:val="0"/>
                <w:color w:val="404040"/>
                <w:sz w:val="20"/>
              </w:rPr>
              <w:t>Por encima de la media</w:t>
            </w:r>
          </w:p>
        </w:tc>
      </w:tr>
      <w:tr>
        <w:tc>
          <w:tcPr>
            <w:tcW w:type="dxa" w:w="2351"/>
          </w:tcPr>
          <w:p>
            <w:r/>
            <w:r>
              <w:rPr>
                <w:rFonts w:ascii="Calibri" w:hAnsi="Calibri"/>
                <w:b w:val="0"/>
                <w:i w:val="0"/>
                <w:color w:val="404040"/>
                <w:sz w:val="20"/>
              </w:rPr>
              <w:t>admin.</w:t>
            </w:r>
          </w:p>
        </w:tc>
        <w:tc>
          <w:tcPr>
            <w:tcW w:type="dxa" w:w="2351"/>
          </w:tcPr>
          <w:p>
            <w:r/>
            <w:r>
              <w:rPr>
                <w:rFonts w:ascii="Calibri" w:hAnsi="Calibri"/>
                <w:b w:val="0"/>
                <w:i w:val="0"/>
                <w:color w:val="404040"/>
                <w:sz w:val="20"/>
              </w:rPr>
              <w:t>10.192</w:t>
            </w:r>
          </w:p>
        </w:tc>
        <w:tc>
          <w:tcPr>
            <w:tcW w:type="dxa" w:w="2351"/>
          </w:tcPr>
          <w:p>
            <w:r/>
            <w:r>
              <w:rPr>
                <w:rFonts w:ascii="Calibri" w:hAnsi="Calibri"/>
                <w:b w:val="0"/>
                <w:i w:val="0"/>
                <w:color w:val="404040"/>
                <w:sz w:val="20"/>
              </w:rPr>
              <w:t>12.97%</w:t>
            </w:r>
          </w:p>
        </w:tc>
        <w:tc>
          <w:tcPr>
            <w:tcW w:type="dxa" w:w="2351"/>
          </w:tcPr>
          <w:p>
            <w:r/>
            <w:r>
              <w:rPr>
                <w:rFonts w:ascii="Calibri" w:hAnsi="Calibri"/>
                <w:b w:val="0"/>
                <w:i w:val="0"/>
                <w:color w:val="404040"/>
                <w:sz w:val="20"/>
              </w:rPr>
              <w:t>Grupo más grande, conversión media</w:t>
            </w:r>
          </w:p>
        </w:tc>
      </w:tr>
      <w:tr>
        <w:tc>
          <w:tcPr>
            <w:tcW w:type="dxa" w:w="2351"/>
            <w:shd w:fill="F2F2F2"/>
          </w:tcPr>
          <w:p>
            <w:r/>
            <w:r>
              <w:rPr>
                <w:rFonts w:ascii="Calibri" w:hAnsi="Calibri"/>
                <w:b w:val="0"/>
                <w:i w:val="0"/>
                <w:color w:val="404040"/>
                <w:sz w:val="20"/>
              </w:rPr>
              <w:t>undisclosed</w:t>
            </w:r>
          </w:p>
        </w:tc>
        <w:tc>
          <w:tcPr>
            <w:tcW w:type="dxa" w:w="2351"/>
            <w:shd w:fill="F2F2F2"/>
          </w:tcPr>
          <w:p>
            <w:r/>
            <w:r>
              <w:rPr>
                <w:rFonts w:ascii="Calibri" w:hAnsi="Calibri"/>
                <w:b w:val="0"/>
                <w:i w:val="0"/>
                <w:color w:val="404040"/>
                <w:sz w:val="20"/>
              </w:rPr>
              <w:t>325</w:t>
            </w:r>
          </w:p>
        </w:tc>
        <w:tc>
          <w:tcPr>
            <w:tcW w:type="dxa" w:w="2351"/>
            <w:shd w:fill="F2F2F2"/>
          </w:tcPr>
          <w:p>
            <w:r/>
            <w:r>
              <w:rPr>
                <w:rFonts w:ascii="Calibri" w:hAnsi="Calibri"/>
                <w:b w:val="0"/>
                <w:i w:val="0"/>
                <w:color w:val="404040"/>
                <w:sz w:val="20"/>
              </w:rPr>
              <w:t>11.38%</w:t>
            </w:r>
          </w:p>
        </w:tc>
        <w:tc>
          <w:tcPr>
            <w:tcW w:type="dxa" w:w="2351"/>
            <w:shd w:fill="F2F2F2"/>
          </w:tcPr>
          <w:p>
            <w:r/>
            <w:r>
              <w:rPr>
                <w:rFonts w:ascii="Calibri" w:hAnsi="Calibri"/>
                <w:b w:val="0"/>
                <w:i w:val="0"/>
                <w:color w:val="404040"/>
                <w:sz w:val="20"/>
              </w:rPr>
              <w:t>En línea con la media</w:t>
            </w:r>
          </w:p>
        </w:tc>
      </w:tr>
      <w:tr>
        <w:tc>
          <w:tcPr>
            <w:tcW w:type="dxa" w:w="2351"/>
          </w:tcPr>
          <w:p>
            <w:r/>
            <w:r>
              <w:rPr>
                <w:rFonts w:ascii="Calibri" w:hAnsi="Calibri"/>
                <w:b w:val="0"/>
                <w:i w:val="0"/>
                <w:color w:val="404040"/>
                <w:sz w:val="20"/>
              </w:rPr>
              <w:t>blue-collar</w:t>
            </w:r>
          </w:p>
        </w:tc>
        <w:tc>
          <w:tcPr>
            <w:tcW w:type="dxa" w:w="2351"/>
          </w:tcPr>
          <w:p>
            <w:r/>
            <w:r>
              <w:rPr>
                <w:rFonts w:ascii="Calibri" w:hAnsi="Calibri"/>
                <w:b w:val="0"/>
                <w:i w:val="0"/>
                <w:color w:val="404040"/>
                <w:sz w:val="20"/>
              </w:rPr>
              <w:t>9.013</w:t>
            </w:r>
          </w:p>
        </w:tc>
        <w:tc>
          <w:tcPr>
            <w:tcW w:type="dxa" w:w="2351"/>
          </w:tcPr>
          <w:p>
            <w:r/>
            <w:r>
              <w:rPr>
                <w:rFonts w:ascii="Calibri" w:hAnsi="Calibri"/>
                <w:b w:val="0"/>
                <w:i w:val="0"/>
                <w:color w:val="404040"/>
                <w:sz w:val="20"/>
              </w:rPr>
              <w:t>6.90%</w:t>
            </w:r>
          </w:p>
        </w:tc>
        <w:tc>
          <w:tcPr>
            <w:tcW w:type="dxa" w:w="2351"/>
          </w:tcPr>
          <w:p>
            <w:r/>
            <w:r>
              <w:rPr>
                <w:rFonts w:ascii="Calibri" w:hAnsi="Calibri"/>
                <w:b w:val="0"/>
                <w:i w:val="0"/>
                <w:color w:val="404040"/>
                <w:sz w:val="20"/>
              </w:rPr>
              <w:t>⬇ El peor conversor del dataset</w:t>
            </w:r>
          </w:p>
        </w:tc>
      </w:tr>
    </w:tbl>
    <w:p>
      <w:pPr>
        <w:spacing w:after="120"/>
      </w:pPr>
      <w:r>
        <w:rPr>
          <w:rFonts w:ascii="Calibri" w:hAnsi="Calibri"/>
          <w:b/>
          <w:i w:val="0"/>
          <w:color w:val="404040"/>
          <w:sz w:val="22"/>
        </w:rPr>
        <w:t>Hallazgo: Existe una brecha de 24 puntos porcentuales entre student (30.99%) y blue-collar (6.90%). Los estudiantes y jubilados, pese a representar un porcentaje minoritario, son los segmentos con mayor propensión a contratar.</w:t>
      </w:r>
    </w:p>
    <w:p>
      <w:pPr>
        <w:pStyle w:val="Heading2"/>
      </w:pPr>
      <w:r>
        <w:rPr>
          <w:rFonts w:ascii="Calibri" w:hAnsi="Calibri"/>
          <w:color w:val="1F3864"/>
        </w:rPr>
        <w:t>6.3 Nivel Educativo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Educación</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Observación</w:t>
            </w:r>
          </w:p>
        </w:tc>
      </w:tr>
      <w:tr>
        <w:tc>
          <w:tcPr>
            <w:tcW w:type="dxa" w:w="2351"/>
            <w:shd w:fill="F2F2F2"/>
          </w:tcPr>
          <w:p>
            <w:r/>
            <w:r>
              <w:rPr>
                <w:rFonts w:ascii="Calibri" w:hAnsi="Calibri"/>
                <w:b w:val="0"/>
                <w:i w:val="0"/>
                <w:color w:val="404040"/>
                <w:sz w:val="20"/>
              </w:rPr>
              <w:t>illiterate</w:t>
            </w:r>
          </w:p>
        </w:tc>
        <w:tc>
          <w:tcPr>
            <w:tcW w:type="dxa" w:w="2351"/>
            <w:shd w:fill="F2F2F2"/>
          </w:tcPr>
          <w:p>
            <w:r/>
            <w:r>
              <w:rPr>
                <w:rFonts w:ascii="Calibri" w:hAnsi="Calibri"/>
                <w:b w:val="0"/>
                <w:i w:val="0"/>
                <w:color w:val="404040"/>
                <w:sz w:val="20"/>
              </w:rPr>
              <w:t>18</w:t>
            </w:r>
          </w:p>
        </w:tc>
        <w:tc>
          <w:tcPr>
            <w:tcW w:type="dxa" w:w="2351"/>
            <w:shd w:fill="F2F2F2"/>
          </w:tcPr>
          <w:p>
            <w:r/>
            <w:r>
              <w:rPr>
                <w:rFonts w:ascii="Calibri" w:hAnsi="Calibri"/>
                <w:b w:val="0"/>
                <w:i w:val="0"/>
                <w:color w:val="404040"/>
                <w:sz w:val="20"/>
              </w:rPr>
              <w:t>22.22%</w:t>
            </w:r>
          </w:p>
        </w:tc>
        <w:tc>
          <w:tcPr>
            <w:tcW w:type="dxa" w:w="2351"/>
            <w:shd w:fill="F2F2F2"/>
          </w:tcPr>
          <w:p>
            <w:r/>
            <w:r>
              <w:rPr>
                <w:rFonts w:ascii="Calibri" w:hAnsi="Calibri"/>
                <w:b w:val="0"/>
                <w:i w:val="0"/>
                <w:color w:val="404040"/>
                <w:sz w:val="20"/>
              </w:rPr>
              <w:t>Muestra muy pequeña (n=18)</w:t>
            </w:r>
          </w:p>
        </w:tc>
      </w:tr>
      <w:tr>
        <w:tc>
          <w:tcPr>
            <w:tcW w:type="dxa" w:w="2351"/>
          </w:tcPr>
          <w:p>
            <w:r/>
            <w:r>
              <w:rPr>
                <w:rFonts w:ascii="Calibri" w:hAnsi="Calibri"/>
                <w:b w:val="0"/>
                <w:i w:val="0"/>
                <w:color w:val="404040"/>
                <w:sz w:val="20"/>
              </w:rPr>
              <w:t>undisclosed</w:t>
            </w:r>
          </w:p>
        </w:tc>
        <w:tc>
          <w:tcPr>
            <w:tcW w:type="dxa" w:w="2351"/>
          </w:tcPr>
          <w:p>
            <w:r/>
            <w:r>
              <w:rPr>
                <w:rFonts w:ascii="Calibri" w:hAnsi="Calibri"/>
                <w:b w:val="0"/>
                <w:i w:val="0"/>
                <w:color w:val="404040"/>
                <w:sz w:val="20"/>
              </w:rPr>
              <w:t>1.690</w:t>
            </w:r>
          </w:p>
        </w:tc>
        <w:tc>
          <w:tcPr>
            <w:tcW w:type="dxa" w:w="2351"/>
          </w:tcPr>
          <w:p>
            <w:r/>
            <w:r>
              <w:rPr>
                <w:rFonts w:ascii="Calibri" w:hAnsi="Calibri"/>
                <w:b w:val="0"/>
                <w:i w:val="0"/>
                <w:color w:val="404040"/>
                <w:sz w:val="20"/>
              </w:rPr>
              <w:t>14.56%</w:t>
            </w:r>
          </w:p>
        </w:tc>
        <w:tc>
          <w:tcPr>
            <w:tcW w:type="dxa" w:w="2351"/>
          </w:tcPr>
          <w:p>
            <w:r/>
            <w:r>
              <w:rPr>
                <w:rFonts w:ascii="Calibri" w:hAnsi="Calibri"/>
                <w:b w:val="0"/>
                <w:i w:val="0"/>
                <w:color w:val="404040"/>
                <w:sz w:val="20"/>
              </w:rPr>
              <w:t>Por encima de la media — perfil valioso</w:t>
            </w:r>
          </w:p>
        </w:tc>
      </w:tr>
      <w:tr>
        <w:tc>
          <w:tcPr>
            <w:tcW w:type="dxa" w:w="2351"/>
            <w:shd w:fill="F2F2F2"/>
          </w:tcPr>
          <w:p>
            <w:r/>
            <w:r>
              <w:rPr>
                <w:rFonts w:ascii="Calibri" w:hAnsi="Calibri"/>
                <w:b w:val="0"/>
                <w:i w:val="0"/>
                <w:color w:val="404040"/>
                <w:sz w:val="20"/>
              </w:rPr>
              <w:t>university.degree</w:t>
            </w:r>
          </w:p>
        </w:tc>
        <w:tc>
          <w:tcPr>
            <w:tcW w:type="dxa" w:w="2351"/>
            <w:shd w:fill="F2F2F2"/>
          </w:tcPr>
          <w:p>
            <w:r/>
            <w:r>
              <w:rPr>
                <w:rFonts w:ascii="Calibri" w:hAnsi="Calibri"/>
                <w:b w:val="0"/>
                <w:i w:val="0"/>
                <w:color w:val="404040"/>
                <w:sz w:val="20"/>
              </w:rPr>
              <w:t>11.887</w:t>
            </w:r>
          </w:p>
        </w:tc>
        <w:tc>
          <w:tcPr>
            <w:tcW w:type="dxa" w:w="2351"/>
            <w:shd w:fill="F2F2F2"/>
          </w:tcPr>
          <w:p>
            <w:r/>
            <w:r>
              <w:rPr>
                <w:rFonts w:ascii="Calibri" w:hAnsi="Calibri"/>
                <w:b w:val="0"/>
                <w:i w:val="0"/>
                <w:color w:val="404040"/>
                <w:sz w:val="20"/>
              </w:rPr>
              <w:t>13.75%</w:t>
            </w:r>
          </w:p>
        </w:tc>
        <w:tc>
          <w:tcPr>
            <w:tcW w:type="dxa" w:w="2351"/>
            <w:shd w:fill="F2F2F2"/>
          </w:tcPr>
          <w:p>
            <w:r/>
            <w:r>
              <w:rPr>
                <w:rFonts w:ascii="Calibri" w:hAnsi="Calibri"/>
                <w:b w:val="0"/>
                <w:i w:val="0"/>
                <w:color w:val="404040"/>
                <w:sz w:val="20"/>
              </w:rPr>
              <w:t>Grupo grande con buena conversión</w:t>
            </w:r>
          </w:p>
        </w:tc>
      </w:tr>
      <w:tr>
        <w:tc>
          <w:tcPr>
            <w:tcW w:type="dxa" w:w="2351"/>
          </w:tcPr>
          <w:p>
            <w:r/>
            <w:r>
              <w:rPr>
                <w:rFonts w:ascii="Calibri" w:hAnsi="Calibri"/>
                <w:b w:val="0"/>
                <w:i w:val="0"/>
                <w:color w:val="404040"/>
                <w:sz w:val="20"/>
              </w:rPr>
              <w:t>professional.course</w:t>
            </w:r>
          </w:p>
        </w:tc>
        <w:tc>
          <w:tcPr>
            <w:tcW w:type="dxa" w:w="2351"/>
          </w:tcPr>
          <w:p>
            <w:r/>
            <w:r>
              <w:rPr>
                <w:rFonts w:ascii="Calibri" w:hAnsi="Calibri"/>
                <w:b w:val="0"/>
                <w:i w:val="0"/>
                <w:color w:val="404040"/>
                <w:sz w:val="20"/>
              </w:rPr>
              <w:t>5.115</w:t>
            </w:r>
          </w:p>
        </w:tc>
        <w:tc>
          <w:tcPr>
            <w:tcW w:type="dxa" w:w="2351"/>
          </w:tcPr>
          <w:p>
            <w:r/>
            <w:r>
              <w:rPr>
                <w:rFonts w:ascii="Calibri" w:hAnsi="Calibri"/>
                <w:b w:val="0"/>
                <w:i w:val="0"/>
                <w:color w:val="404040"/>
                <w:sz w:val="20"/>
              </w:rPr>
              <w:t>11.32%</w:t>
            </w:r>
          </w:p>
        </w:tc>
        <w:tc>
          <w:tcPr>
            <w:tcW w:type="dxa" w:w="2351"/>
          </w:tcPr>
          <w:p>
            <w:r/>
            <w:r>
              <w:rPr>
                <w:rFonts w:ascii="Calibri" w:hAnsi="Calibri"/>
                <w:b w:val="0"/>
                <w:i w:val="0"/>
                <w:color w:val="404040"/>
                <w:sz w:val="20"/>
              </w:rPr>
              <w:t>En la media</w:t>
            </w:r>
          </w:p>
        </w:tc>
      </w:tr>
      <w:tr>
        <w:tc>
          <w:tcPr>
            <w:tcW w:type="dxa" w:w="2351"/>
            <w:shd w:fill="F2F2F2"/>
          </w:tcPr>
          <w:p>
            <w:r/>
            <w:r>
              <w:rPr>
                <w:rFonts w:ascii="Calibri" w:hAnsi="Calibri"/>
                <w:b w:val="0"/>
                <w:i w:val="0"/>
                <w:color w:val="404040"/>
                <w:sz w:val="20"/>
              </w:rPr>
              <w:t>high.school</w:t>
            </w:r>
          </w:p>
        </w:tc>
        <w:tc>
          <w:tcPr>
            <w:tcW w:type="dxa" w:w="2351"/>
            <w:shd w:fill="F2F2F2"/>
          </w:tcPr>
          <w:p>
            <w:r/>
            <w:r>
              <w:rPr>
                <w:rFonts w:ascii="Calibri" w:hAnsi="Calibri"/>
                <w:b w:val="0"/>
                <w:i w:val="0"/>
                <w:color w:val="404040"/>
                <w:sz w:val="20"/>
              </w:rPr>
              <w:t>9.292</w:t>
            </w:r>
          </w:p>
        </w:tc>
        <w:tc>
          <w:tcPr>
            <w:tcW w:type="dxa" w:w="2351"/>
            <w:shd w:fill="F2F2F2"/>
          </w:tcPr>
          <w:p>
            <w:r/>
            <w:r>
              <w:rPr>
                <w:rFonts w:ascii="Calibri" w:hAnsi="Calibri"/>
                <w:b w:val="0"/>
                <w:i w:val="0"/>
                <w:color w:val="404040"/>
                <w:sz w:val="20"/>
              </w:rPr>
              <w:t>10.87%</w:t>
            </w:r>
          </w:p>
        </w:tc>
        <w:tc>
          <w:tcPr>
            <w:tcW w:type="dxa" w:w="2351"/>
            <w:shd w:fill="F2F2F2"/>
          </w:tcPr>
          <w:p>
            <w:r/>
            <w:r>
              <w:rPr>
                <w:rFonts w:ascii="Calibri" w:hAnsi="Calibri"/>
                <w:b w:val="0"/>
                <w:i w:val="0"/>
                <w:color w:val="404040"/>
                <w:sz w:val="20"/>
              </w:rPr>
              <w:t>Ligeramente por debajo</w:t>
            </w:r>
          </w:p>
        </w:tc>
      </w:tr>
      <w:tr>
        <w:tc>
          <w:tcPr>
            <w:tcW w:type="dxa" w:w="2351"/>
          </w:tcPr>
          <w:p>
            <w:r/>
            <w:r>
              <w:rPr>
                <w:rFonts w:ascii="Calibri" w:hAnsi="Calibri"/>
                <w:b w:val="0"/>
                <w:i w:val="0"/>
                <w:color w:val="404040"/>
                <w:sz w:val="20"/>
              </w:rPr>
              <w:t>basic.9y</w:t>
            </w:r>
          </w:p>
        </w:tc>
        <w:tc>
          <w:tcPr>
            <w:tcW w:type="dxa" w:w="2351"/>
          </w:tcPr>
          <w:p>
            <w:r/>
            <w:r>
              <w:rPr>
                <w:rFonts w:ascii="Calibri" w:hAnsi="Calibri"/>
                <w:b w:val="0"/>
                <w:i w:val="0"/>
                <w:color w:val="404040"/>
                <w:sz w:val="20"/>
              </w:rPr>
              <w:t>5.894</w:t>
            </w:r>
          </w:p>
        </w:tc>
        <w:tc>
          <w:tcPr>
            <w:tcW w:type="dxa" w:w="2351"/>
          </w:tcPr>
          <w:p>
            <w:r/>
            <w:r>
              <w:rPr>
                <w:rFonts w:ascii="Calibri" w:hAnsi="Calibri"/>
                <w:b w:val="0"/>
                <w:i w:val="0"/>
                <w:color w:val="404040"/>
                <w:sz w:val="20"/>
              </w:rPr>
              <w:t>7.80%</w:t>
            </w:r>
          </w:p>
        </w:tc>
        <w:tc>
          <w:tcPr>
            <w:tcW w:type="dxa" w:w="2351"/>
          </w:tcPr>
          <w:p>
            <w:r/>
            <w:r>
              <w:rPr>
                <w:rFonts w:ascii="Calibri" w:hAnsi="Calibri"/>
                <w:b w:val="0"/>
                <w:i w:val="0"/>
                <w:color w:val="404040"/>
                <w:sz w:val="20"/>
              </w:rPr>
              <w:t>⬇ Baja conversión</w:t>
            </w:r>
          </w:p>
        </w:tc>
      </w:tr>
    </w:tbl>
    <w:p>
      <w:pPr>
        <w:spacing w:after="120"/>
      </w:pPr>
      <w:r>
        <w:rPr>
          <w:rFonts w:ascii="Calibri" w:hAnsi="Calibri"/>
          <w:b/>
          <w:i w:val="0"/>
          <w:color w:val="404040"/>
          <w:sz w:val="22"/>
        </w:rPr>
        <w:t>Hallazgo: Se observa una tendencia directa: a mayor nivel educativo, mayor probabilidad de contratación. Los universitarios lideran con 13.75%. Los clientes con educación undisclosed convierten 14.56%, confirmando que no son ruido.</w:t>
      </w:r>
    </w:p>
    <w:p>
      <w:pPr>
        <w:jc w:val="center"/>
      </w:pPr>
      <w:r>
        <w:drawing>
          <wp:inline xmlns:a="http://schemas.openxmlformats.org/drawingml/2006/main" xmlns:pic="http://schemas.openxmlformats.org/drawingml/2006/picture">
            <wp:extent cx="5486400" cy="2824173"/>
            <wp:docPr id="10" name="Picture 10"/>
            <wp:cNvGraphicFramePr>
              <a:graphicFrameLocks noChangeAspect="1"/>
            </wp:cNvGraphicFramePr>
            <a:graphic>
              <a:graphicData uri="http://schemas.openxmlformats.org/drawingml/2006/picture">
                <pic:pic>
                  <pic:nvPicPr>
                    <pic:cNvPr id="0" name="fig07_conversion_education.png"/>
                    <pic:cNvPicPr/>
                  </pic:nvPicPr>
                  <pic:blipFill>
                    <a:blip r:embed="rId18"/>
                    <a:stretch>
                      <a:fillRect/>
                    </a:stretch>
                  </pic:blipFill>
                  <pic:spPr>
                    <a:xfrm>
                      <a:off x="0" y="0"/>
                      <a:ext cx="5486400" cy="2824173"/>
                    </a:xfrm>
                    <a:prstGeom prst="rect"/>
                  </pic:spPr>
                </pic:pic>
              </a:graphicData>
            </a:graphic>
          </wp:inline>
        </w:drawing>
      </w:r>
    </w:p>
    <w:p>
      <w:pPr>
        <w:jc w:val="center"/>
      </w:pPr>
      <w:r>
        <w:rPr>
          <w:rFonts w:ascii="Calibri" w:hAnsi="Calibri"/>
          <w:i/>
          <w:color w:val="808080"/>
          <w:sz w:val="18"/>
        </w:rPr>
        <w:t>Figura 8. Tasa de conversión por nivel educativo. Se confirma la correlación positiva entre educación y propensión a contratar. Datos derivados de la celda 35 del notebook.</w:t>
      </w:r>
    </w:p>
    <w:p>
      <w:pPr>
        <w:spacing w:before="120" w:after="120"/>
      </w:pPr>
    </w:p>
    <w:p>
      <w:pPr>
        <w:pStyle w:val="Heading2"/>
      </w:pPr>
      <w:r>
        <w:rPr>
          <w:rFonts w:ascii="Calibri" w:hAnsi="Calibri"/>
          <w:color w:val="1F3864"/>
        </w:rPr>
        <w:t>6.4 Estado Civil</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Estado Civil</w:t>
            </w:r>
          </w:p>
        </w:tc>
        <w:tc>
          <w:tcPr>
            <w:tcW w:type="dxa" w:w="3135"/>
            <w:shd w:fill="1F3864"/>
          </w:tcPr>
          <w:p>
            <w:pPr>
              <w:jc w:val="center"/>
            </w:pPr>
            <w:r/>
            <w:r>
              <w:rPr>
                <w:rFonts w:ascii="Calibri" w:hAnsi="Calibri"/>
                <w:b/>
                <w:i w:val="0"/>
                <w:color w:val="FFFFFF"/>
                <w:sz w:val="20"/>
              </w:rPr>
              <w:t>Registros</w:t>
            </w:r>
          </w:p>
        </w:tc>
        <w:tc>
          <w:tcPr>
            <w:tcW w:type="dxa" w:w="3135"/>
            <w:shd w:fill="1F3864"/>
          </w:tcPr>
          <w:p>
            <w:pPr>
              <w:jc w:val="center"/>
            </w:pPr>
            <w:r/>
            <w:r>
              <w:rPr>
                <w:rFonts w:ascii="Calibri" w:hAnsi="Calibri"/>
                <w:b/>
                <w:i w:val="0"/>
                <w:color w:val="FFFFFF"/>
                <w:sz w:val="20"/>
              </w:rPr>
              <w:t>Conversión</w:t>
            </w:r>
          </w:p>
        </w:tc>
      </w:tr>
      <w:tr>
        <w:tc>
          <w:tcPr>
            <w:tcW w:type="dxa" w:w="3135"/>
            <w:shd w:fill="F2F2F2"/>
          </w:tcPr>
          <w:p>
            <w:r/>
            <w:r>
              <w:rPr>
                <w:rFonts w:ascii="Calibri" w:hAnsi="Calibri"/>
                <w:b w:val="0"/>
                <w:i w:val="0"/>
                <w:color w:val="404040"/>
                <w:sz w:val="20"/>
              </w:rPr>
              <w:t>undisclosed</w:t>
            </w:r>
          </w:p>
        </w:tc>
        <w:tc>
          <w:tcPr>
            <w:tcW w:type="dxa" w:w="3135"/>
            <w:shd w:fill="F2F2F2"/>
          </w:tcPr>
          <w:p>
            <w:r/>
            <w:r>
              <w:rPr>
                <w:rFonts w:ascii="Calibri" w:hAnsi="Calibri"/>
                <w:b w:val="0"/>
                <w:i w:val="0"/>
                <w:color w:val="404040"/>
                <w:sz w:val="20"/>
              </w:rPr>
              <w:t>79</w:t>
            </w:r>
          </w:p>
        </w:tc>
        <w:tc>
          <w:tcPr>
            <w:tcW w:type="dxa" w:w="3135"/>
            <w:shd w:fill="F2F2F2"/>
          </w:tcPr>
          <w:p>
            <w:r/>
            <w:r>
              <w:rPr>
                <w:rFonts w:ascii="Calibri" w:hAnsi="Calibri"/>
                <w:b w:val="0"/>
                <w:i w:val="0"/>
                <w:color w:val="404040"/>
                <w:sz w:val="20"/>
              </w:rPr>
              <w:t>15.19%</w:t>
            </w:r>
          </w:p>
        </w:tc>
      </w:tr>
      <w:tr>
        <w:tc>
          <w:tcPr>
            <w:tcW w:type="dxa" w:w="3135"/>
          </w:tcPr>
          <w:p>
            <w:r/>
            <w:r>
              <w:rPr>
                <w:rFonts w:ascii="Calibri" w:hAnsi="Calibri"/>
                <w:b w:val="0"/>
                <w:i w:val="0"/>
                <w:color w:val="404040"/>
                <w:sz w:val="20"/>
              </w:rPr>
              <w:t>single</w:t>
            </w:r>
          </w:p>
        </w:tc>
        <w:tc>
          <w:tcPr>
            <w:tcW w:type="dxa" w:w="3135"/>
          </w:tcPr>
          <w:p>
            <w:r/>
            <w:r>
              <w:rPr>
                <w:rFonts w:ascii="Calibri" w:hAnsi="Calibri"/>
                <w:b w:val="0"/>
                <w:i w:val="0"/>
                <w:color w:val="404040"/>
                <w:sz w:val="20"/>
              </w:rPr>
              <w:t>11.284</w:t>
            </w:r>
          </w:p>
        </w:tc>
        <w:tc>
          <w:tcPr>
            <w:tcW w:type="dxa" w:w="3135"/>
          </w:tcPr>
          <w:p>
            <w:r/>
            <w:r>
              <w:rPr>
                <w:rFonts w:ascii="Calibri" w:hAnsi="Calibri"/>
                <w:b w:val="0"/>
                <w:i w:val="0"/>
                <w:color w:val="404040"/>
                <w:sz w:val="20"/>
              </w:rPr>
              <w:t>14.01%</w:t>
            </w:r>
          </w:p>
        </w:tc>
      </w:tr>
      <w:tr>
        <w:tc>
          <w:tcPr>
            <w:tcW w:type="dxa" w:w="3135"/>
            <w:shd w:fill="F2F2F2"/>
          </w:tcPr>
          <w:p>
            <w:r/>
            <w:r>
              <w:rPr>
                <w:rFonts w:ascii="Calibri" w:hAnsi="Calibri"/>
                <w:b w:val="0"/>
                <w:i w:val="0"/>
                <w:color w:val="404040"/>
                <w:sz w:val="20"/>
              </w:rPr>
              <w:t>divorced</w:t>
            </w:r>
          </w:p>
        </w:tc>
        <w:tc>
          <w:tcPr>
            <w:tcW w:type="dxa" w:w="3135"/>
            <w:shd w:fill="F2F2F2"/>
          </w:tcPr>
          <w:p>
            <w:r/>
            <w:r>
              <w:rPr>
                <w:rFonts w:ascii="Calibri" w:hAnsi="Calibri"/>
                <w:b w:val="0"/>
                <w:i w:val="0"/>
                <w:color w:val="404040"/>
                <w:sz w:val="20"/>
              </w:rPr>
              <w:t>4.490</w:t>
            </w:r>
          </w:p>
        </w:tc>
        <w:tc>
          <w:tcPr>
            <w:tcW w:type="dxa" w:w="3135"/>
            <w:shd w:fill="F2F2F2"/>
          </w:tcPr>
          <w:p>
            <w:r/>
            <w:r>
              <w:rPr>
                <w:rFonts w:ascii="Calibri" w:hAnsi="Calibri"/>
                <w:b w:val="0"/>
                <w:i w:val="0"/>
                <w:color w:val="404040"/>
                <w:sz w:val="20"/>
              </w:rPr>
              <w:t>10.42%</w:t>
            </w:r>
          </w:p>
        </w:tc>
      </w:tr>
      <w:tr>
        <w:tc>
          <w:tcPr>
            <w:tcW w:type="dxa" w:w="3135"/>
          </w:tcPr>
          <w:p>
            <w:r/>
            <w:r>
              <w:rPr>
                <w:rFonts w:ascii="Calibri" w:hAnsi="Calibri"/>
                <w:b w:val="0"/>
                <w:i w:val="0"/>
                <w:color w:val="404040"/>
                <w:sz w:val="20"/>
              </w:rPr>
              <w:t>married</w:t>
            </w:r>
          </w:p>
        </w:tc>
        <w:tc>
          <w:tcPr>
            <w:tcW w:type="dxa" w:w="3135"/>
          </w:tcPr>
          <w:p>
            <w:r/>
            <w:r>
              <w:rPr>
                <w:rFonts w:ascii="Calibri" w:hAnsi="Calibri"/>
                <w:b w:val="0"/>
                <w:i w:val="0"/>
                <w:color w:val="404040"/>
                <w:sz w:val="20"/>
              </w:rPr>
              <w:t>24.333</w:t>
            </w:r>
          </w:p>
        </w:tc>
        <w:tc>
          <w:tcPr>
            <w:tcW w:type="dxa" w:w="3135"/>
          </w:tcPr>
          <w:p>
            <w:r/>
            <w:r>
              <w:rPr>
                <w:rFonts w:ascii="Calibri" w:hAnsi="Calibri"/>
                <w:b w:val="0"/>
                <w:i w:val="0"/>
                <w:color w:val="404040"/>
                <w:sz w:val="20"/>
              </w:rPr>
              <w:t>10.15%</w:t>
            </w:r>
          </w:p>
        </w:tc>
      </w:tr>
    </w:tbl>
    <w:p>
      <w:pPr>
        <w:spacing w:after="120"/>
      </w:pPr>
      <w:r>
        <w:rPr>
          <w:rFonts w:ascii="Calibri" w:hAnsi="Calibri"/>
          <w:b w:val="0"/>
          <w:i w:val="0"/>
          <w:color w:val="404040"/>
          <w:sz w:val="22"/>
        </w:rPr>
        <w:t>Los solteros (14.01%) muestran mayor predisposición que los casados (10.15%), posiblemente por mayor flexibilidad financiera. Crosstab normalizado generado en celda 34.</w:t>
      </w:r>
    </w:p>
    <w:p>
      <w:pPr>
        <w:pStyle w:val="Heading2"/>
      </w:pPr>
      <w:r>
        <w:rPr>
          <w:rFonts w:ascii="Calibri" w:hAnsi="Calibri"/>
          <w:color w:val="1F3864"/>
        </w:rPr>
        <w:t>6.5 Crédito en Incumplimiento (Default)</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Default</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Observación</w:t>
            </w:r>
          </w:p>
        </w:tc>
      </w:tr>
      <w:tr>
        <w:tc>
          <w:tcPr>
            <w:tcW w:type="dxa" w:w="2351"/>
            <w:shd w:fill="F2F2F2"/>
          </w:tcPr>
          <w:p>
            <w:r/>
            <w:r>
              <w:rPr>
                <w:rFonts w:ascii="Calibri" w:hAnsi="Calibri"/>
                <w:b w:val="0"/>
                <w:i w:val="0"/>
                <w:color w:val="404040"/>
                <w:sz w:val="20"/>
              </w:rPr>
              <w:t>no</w:t>
            </w:r>
          </w:p>
        </w:tc>
        <w:tc>
          <w:tcPr>
            <w:tcW w:type="dxa" w:w="2351"/>
            <w:shd w:fill="F2F2F2"/>
          </w:tcPr>
          <w:p>
            <w:r/>
            <w:r>
              <w:rPr>
                <w:rFonts w:ascii="Calibri" w:hAnsi="Calibri"/>
                <w:b w:val="0"/>
                <w:i w:val="0"/>
                <w:color w:val="404040"/>
                <w:sz w:val="20"/>
              </w:rPr>
              <w:t>31.814</w:t>
            </w:r>
          </w:p>
        </w:tc>
        <w:tc>
          <w:tcPr>
            <w:tcW w:type="dxa" w:w="2351"/>
            <w:shd w:fill="F2F2F2"/>
          </w:tcPr>
          <w:p>
            <w:r/>
            <w:r>
              <w:rPr>
                <w:rFonts w:ascii="Calibri" w:hAnsi="Calibri"/>
                <w:b w:val="0"/>
                <w:i w:val="0"/>
                <w:color w:val="404040"/>
                <w:sz w:val="20"/>
              </w:rPr>
              <w:t>12.89%</w:t>
            </w:r>
          </w:p>
        </w:tc>
        <w:tc>
          <w:tcPr>
            <w:tcW w:type="dxa" w:w="2351"/>
            <w:shd w:fill="F2F2F2"/>
          </w:tcPr>
          <w:p>
            <w:r/>
            <w:r>
              <w:rPr>
                <w:rFonts w:ascii="Calibri" w:hAnsi="Calibri"/>
                <w:b w:val="0"/>
                <w:i w:val="0"/>
                <w:color w:val="404040"/>
                <w:sz w:val="20"/>
              </w:rPr>
              <w:t>Base normal</w:t>
            </w:r>
          </w:p>
        </w:tc>
      </w:tr>
      <w:tr>
        <w:tc>
          <w:tcPr>
            <w:tcW w:type="dxa" w:w="2351"/>
          </w:tcPr>
          <w:p>
            <w:r/>
            <w:r>
              <w:rPr>
                <w:rFonts w:ascii="Calibri" w:hAnsi="Calibri"/>
                <w:b w:val="0"/>
                <w:i w:val="0"/>
                <w:color w:val="404040"/>
                <w:sz w:val="20"/>
              </w:rPr>
              <w:t>yes</w:t>
            </w:r>
          </w:p>
        </w:tc>
        <w:tc>
          <w:tcPr>
            <w:tcW w:type="dxa" w:w="2351"/>
          </w:tcPr>
          <w:p>
            <w:r/>
            <w:r>
              <w:rPr>
                <w:rFonts w:ascii="Calibri" w:hAnsi="Calibri"/>
                <w:b w:val="0"/>
                <w:i w:val="0"/>
                <w:color w:val="404040"/>
                <w:sz w:val="20"/>
              </w:rPr>
              <w:t>3</w:t>
            </w:r>
          </w:p>
        </w:tc>
        <w:tc>
          <w:tcPr>
            <w:tcW w:type="dxa" w:w="2351"/>
          </w:tcPr>
          <w:p>
            <w:r/>
            <w:r>
              <w:rPr>
                <w:rFonts w:ascii="Calibri" w:hAnsi="Calibri"/>
                <w:b w:val="0"/>
                <w:i w:val="0"/>
                <w:color w:val="404040"/>
                <w:sz w:val="20"/>
              </w:rPr>
              <w:t>0.0%</w:t>
            </w:r>
          </w:p>
        </w:tc>
        <w:tc>
          <w:tcPr>
            <w:tcW w:type="dxa" w:w="2351"/>
          </w:tcPr>
          <w:p>
            <w:r/>
            <w:r>
              <w:rPr>
                <w:rFonts w:ascii="Calibri" w:hAnsi="Calibri"/>
                <w:b w:val="0"/>
                <w:i w:val="0"/>
                <w:color w:val="404040"/>
                <w:sz w:val="20"/>
              </w:rPr>
              <w:t>Solo 3 casos, todos "no"</w:t>
            </w:r>
          </w:p>
        </w:tc>
      </w:tr>
      <w:tr>
        <w:tc>
          <w:tcPr>
            <w:tcW w:type="dxa" w:w="2351"/>
            <w:shd w:fill="F2F2F2"/>
          </w:tcPr>
          <w:p>
            <w:r/>
            <w:r>
              <w:rPr>
                <w:rFonts w:ascii="Calibri" w:hAnsi="Calibri"/>
                <w:b w:val="0"/>
                <w:i w:val="0"/>
                <w:color w:val="404040"/>
                <w:sz w:val="20"/>
              </w:rPr>
              <w:t>undisclosed</w:t>
            </w:r>
          </w:p>
        </w:tc>
        <w:tc>
          <w:tcPr>
            <w:tcW w:type="dxa" w:w="2351"/>
            <w:shd w:fill="F2F2F2"/>
          </w:tcPr>
          <w:p>
            <w:r/>
            <w:r>
              <w:rPr>
                <w:rFonts w:ascii="Calibri" w:hAnsi="Calibri"/>
                <w:b w:val="0"/>
                <w:i w:val="0"/>
                <w:color w:val="404040"/>
                <w:sz w:val="20"/>
              </w:rPr>
              <w:t>8.369</w:t>
            </w:r>
          </w:p>
        </w:tc>
        <w:tc>
          <w:tcPr>
            <w:tcW w:type="dxa" w:w="2351"/>
            <w:shd w:fill="F2F2F2"/>
          </w:tcPr>
          <w:p>
            <w:r/>
            <w:r>
              <w:rPr>
                <w:rFonts w:ascii="Calibri" w:hAnsi="Calibri"/>
                <w:b w:val="0"/>
                <w:i w:val="0"/>
                <w:color w:val="404040"/>
                <w:sz w:val="20"/>
              </w:rPr>
              <w:t>5.16%</w:t>
            </w:r>
          </w:p>
        </w:tc>
        <w:tc>
          <w:tcPr>
            <w:tcW w:type="dxa" w:w="2351"/>
            <w:shd w:fill="F2F2F2"/>
          </w:tcPr>
          <w:p>
            <w:r/>
            <w:r>
              <w:rPr>
                <w:rFonts w:ascii="Calibri" w:hAnsi="Calibri"/>
                <w:b w:val="0"/>
                <w:i w:val="0"/>
                <w:color w:val="404040"/>
                <w:sz w:val="20"/>
              </w:rPr>
              <w:t>★ Menos de la MITAD que "no"</w:t>
            </w:r>
          </w:p>
        </w:tc>
      </w:tr>
    </w:tbl>
    <w:p>
      <w:pPr>
        <w:spacing w:after="120"/>
      </w:pPr>
      <w:r>
        <w:rPr>
          <w:rFonts w:ascii="Calibri" w:hAnsi="Calibri"/>
          <w:b/>
          <w:i w:val="0"/>
          <w:color w:val="404040"/>
          <w:sz w:val="22"/>
        </w:rPr>
        <w:t>Hallazgo crítico: Los clientes con credit_default=undisclosed (20.8% del dataset) convierten solo 5.16%, menos de la mitad que los clientes sin incumplimiento (12.89%). Este grupo, analizado mediante barplot de success_rate (celda 25), muestra un perfil conservador con aversión al riesgo financiero.</w:t>
      </w:r>
    </w:p>
    <w:p>
      <w:pPr>
        <w:pStyle w:val="Heading2"/>
      </w:pPr>
      <w:r>
        <w:rPr>
          <w:rFonts w:ascii="Calibri" w:hAnsi="Calibri"/>
          <w:color w:val="1F3864"/>
        </w:rPr>
        <w:t>6.6 Hipoteca y Préstamo Personal</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Variable</w:t>
            </w:r>
          </w:p>
        </w:tc>
        <w:tc>
          <w:tcPr>
            <w:tcW w:type="dxa" w:w="2351"/>
            <w:shd w:fill="1F3864"/>
          </w:tcPr>
          <w:p>
            <w:pPr>
              <w:jc w:val="center"/>
            </w:pPr>
            <w:r/>
            <w:r>
              <w:rPr>
                <w:rFonts w:ascii="Calibri" w:hAnsi="Calibri"/>
                <w:b/>
                <w:i w:val="0"/>
                <w:color w:val="FFFFFF"/>
                <w:sz w:val="20"/>
              </w:rPr>
              <w:t>Sí</w:t>
            </w:r>
          </w:p>
        </w:tc>
        <w:tc>
          <w:tcPr>
            <w:tcW w:type="dxa" w:w="2351"/>
            <w:shd w:fill="1F3864"/>
          </w:tcPr>
          <w:p>
            <w:pPr>
              <w:jc w:val="center"/>
            </w:pPr>
            <w:r/>
            <w:r>
              <w:rPr>
                <w:rFonts w:ascii="Calibri" w:hAnsi="Calibri"/>
                <w:b/>
                <w:i w:val="0"/>
                <w:color w:val="FFFFFF"/>
                <w:sz w:val="20"/>
              </w:rPr>
              <w:t>No</w:t>
            </w:r>
          </w:p>
        </w:tc>
        <w:tc>
          <w:tcPr>
            <w:tcW w:type="dxa" w:w="2351"/>
            <w:shd w:fill="1F3864"/>
          </w:tcPr>
          <w:p>
            <w:pPr>
              <w:jc w:val="center"/>
            </w:pPr>
            <w:r/>
            <w:r>
              <w:rPr>
                <w:rFonts w:ascii="Calibri" w:hAnsi="Calibri"/>
                <w:b/>
                <w:i w:val="0"/>
                <w:color w:val="FFFFFF"/>
                <w:sz w:val="20"/>
              </w:rPr>
              <w:t>Significativa</w:t>
            </w:r>
          </w:p>
        </w:tc>
      </w:tr>
      <w:tr>
        <w:tc>
          <w:tcPr>
            <w:tcW w:type="dxa" w:w="2351"/>
            <w:shd w:fill="F2F2F2"/>
          </w:tcPr>
          <w:p>
            <w:r/>
            <w:r>
              <w:rPr>
                <w:rFonts w:ascii="Calibri" w:hAnsi="Calibri"/>
                <w:b w:val="0"/>
                <w:i w:val="0"/>
                <w:color w:val="404040"/>
                <w:sz w:val="20"/>
              </w:rPr>
              <w:t>Hipoteca (has_housing_loan)</w:t>
            </w:r>
          </w:p>
        </w:tc>
        <w:tc>
          <w:tcPr>
            <w:tcW w:type="dxa" w:w="2351"/>
            <w:shd w:fill="F2F2F2"/>
          </w:tcPr>
          <w:p>
            <w:r/>
            <w:r>
              <w:rPr>
                <w:rFonts w:ascii="Calibri" w:hAnsi="Calibri"/>
                <w:b w:val="0"/>
                <w:i w:val="0"/>
                <w:color w:val="404040"/>
                <w:sz w:val="20"/>
              </w:rPr>
              <w:t>11.62%</w:t>
            </w:r>
          </w:p>
        </w:tc>
        <w:tc>
          <w:tcPr>
            <w:tcW w:type="dxa" w:w="2351"/>
            <w:shd w:fill="F2F2F2"/>
          </w:tcPr>
          <w:p>
            <w:r/>
            <w:r>
              <w:rPr>
                <w:rFonts w:ascii="Calibri" w:hAnsi="Calibri"/>
                <w:b w:val="0"/>
                <w:i w:val="0"/>
                <w:color w:val="404040"/>
                <w:sz w:val="20"/>
              </w:rPr>
              <w:t>10.88%</w:t>
            </w:r>
          </w:p>
        </w:tc>
        <w:tc>
          <w:tcPr>
            <w:tcW w:type="dxa" w:w="2351"/>
            <w:shd w:fill="F2F2F2"/>
          </w:tcPr>
          <w:p>
            <w:r/>
            <w:r>
              <w:rPr>
                <w:rFonts w:ascii="Calibri" w:hAnsi="Calibri"/>
                <w:b w:val="0"/>
                <w:i w:val="0"/>
                <w:color w:val="404040"/>
                <w:sz w:val="20"/>
              </w:rPr>
              <w:t>Débil</w:t>
            </w:r>
          </w:p>
        </w:tc>
      </w:tr>
      <w:tr>
        <w:tc>
          <w:tcPr>
            <w:tcW w:type="dxa" w:w="2351"/>
          </w:tcPr>
          <w:p>
            <w:r/>
            <w:r>
              <w:rPr>
                <w:rFonts w:ascii="Calibri" w:hAnsi="Calibri"/>
                <w:b w:val="0"/>
                <w:i w:val="0"/>
                <w:color w:val="404040"/>
                <w:sz w:val="20"/>
              </w:rPr>
              <w:t>Préstamo (has_personal_loan)</w:t>
            </w:r>
          </w:p>
        </w:tc>
        <w:tc>
          <w:tcPr>
            <w:tcW w:type="dxa" w:w="2351"/>
          </w:tcPr>
          <w:p>
            <w:r/>
            <w:r>
              <w:rPr>
                <w:rFonts w:ascii="Calibri" w:hAnsi="Calibri"/>
                <w:b w:val="0"/>
                <w:i w:val="0"/>
                <w:color w:val="404040"/>
                <w:sz w:val="20"/>
              </w:rPr>
              <w:t>10.93%</w:t>
            </w:r>
          </w:p>
        </w:tc>
        <w:tc>
          <w:tcPr>
            <w:tcW w:type="dxa" w:w="2351"/>
          </w:tcPr>
          <w:p>
            <w:r/>
            <w:r>
              <w:rPr>
                <w:rFonts w:ascii="Calibri" w:hAnsi="Calibri"/>
                <w:b w:val="0"/>
                <w:i w:val="0"/>
                <w:color w:val="404040"/>
                <w:sz w:val="20"/>
              </w:rPr>
              <w:t>11.34%</w:t>
            </w:r>
          </w:p>
        </w:tc>
        <w:tc>
          <w:tcPr>
            <w:tcW w:type="dxa" w:w="2351"/>
          </w:tcPr>
          <w:p>
            <w:r/>
            <w:r>
              <w:rPr>
                <w:rFonts w:ascii="Calibri" w:hAnsi="Calibri"/>
                <w:b w:val="0"/>
                <w:i w:val="0"/>
                <w:color w:val="404040"/>
                <w:sz w:val="20"/>
              </w:rPr>
              <w:t>Débil</w:t>
            </w:r>
          </w:p>
        </w:tc>
      </w:tr>
    </w:tbl>
    <w:p>
      <w:pPr>
        <w:spacing w:after="120"/>
      </w:pPr>
      <w:r>
        <w:rPr>
          <w:rFonts w:ascii="Calibri" w:hAnsi="Calibri"/>
          <w:b w:val="0"/>
          <w:i w:val="0"/>
          <w:color w:val="404040"/>
          <w:sz w:val="22"/>
        </w:rPr>
        <w:t>Las tablas de contingencia normalizadas (celdas 36-37) muestran que ni la hipoteca ni el préstamo personal son discriminadores clave para la suscripción. Las diferencias son mínimas (&lt;1pp).</w:t>
      </w:r>
    </w:p>
    <w:p>
      <w:r>
        <w:br w:type="page"/>
      </w:r>
    </w:p>
    <w:p>
      <w:pPr>
        <w:pStyle w:val="Heading1"/>
      </w:pPr>
      <w:r>
        <w:rPr>
          <w:rFonts w:ascii="Calibri" w:hAnsi="Calibri"/>
          <w:color w:val="1F3864"/>
        </w:rPr>
        <w:t>7. Impacto de la Campaña en la Suscripción (Sub-tarea 1.4)</w:t>
      </w:r>
    </w:p>
    <w:p>
      <w:pPr>
        <w:pStyle w:val="Heading2"/>
      </w:pPr>
      <w:r>
        <w:rPr>
          <w:rFonts w:ascii="Calibri" w:hAnsi="Calibri"/>
          <w:color w:val="1F3864"/>
        </w:rPr>
        <w:t>7.1 Número de Contactos y Punto de Saturación</w:t>
      </w:r>
    </w:p>
    <w:p>
      <w:pPr>
        <w:spacing w:after="120"/>
      </w:pPr>
      <w:r>
        <w:rPr>
          <w:rFonts w:ascii="Calibri" w:hAnsi="Calibri"/>
          <w:b w:val="0"/>
          <w:i w:val="0"/>
          <w:color w:val="404040"/>
          <w:sz w:val="22"/>
        </w:rPr>
        <w:t>El barplot de success_rate por contact_attempts (celda 19) y la variable derivada high_contact_attempts (celda 24) revelan una relación negativa clara:</w:t>
      </w:r>
    </w:p>
    <w:p>
      <w:pPr>
        <w:jc w:val="center"/>
      </w:pPr>
      <w:r>
        <w:drawing>
          <wp:inline xmlns:a="http://schemas.openxmlformats.org/drawingml/2006/main" xmlns:pic="http://schemas.openxmlformats.org/drawingml/2006/picture">
            <wp:extent cx="5486400" cy="2625450"/>
            <wp:docPr id="9" name="Picture 9"/>
            <wp:cNvGraphicFramePr>
              <a:graphicFrameLocks noChangeAspect="1"/>
            </wp:cNvGraphicFramePr>
            <a:graphic>
              <a:graphicData uri="http://schemas.openxmlformats.org/drawingml/2006/picture">
                <pic:pic>
                  <pic:nvPicPr>
                    <pic:cNvPr id="0" name="fig09_conversion_contact_attempts.png"/>
                    <pic:cNvPicPr/>
                  </pic:nvPicPr>
                  <pic:blipFill>
                    <a:blip r:embed="rId17"/>
                    <a:stretch>
                      <a:fillRect/>
                    </a:stretch>
                  </pic:blipFill>
                  <pic:spPr>
                    <a:xfrm>
                      <a:off x="0" y="0"/>
                      <a:ext cx="5486400" cy="2625450"/>
                    </a:xfrm>
                    <a:prstGeom prst="rect"/>
                  </pic:spPr>
                </pic:pic>
              </a:graphicData>
            </a:graphic>
          </wp:inline>
        </w:drawing>
      </w:r>
    </w:p>
    <w:p>
      <w:pPr>
        <w:jc w:val="center"/>
      </w:pPr>
      <w:r>
        <w:rPr>
          <w:rFonts w:ascii="Calibri" w:hAnsi="Calibri"/>
          <w:i/>
          <w:color w:val="808080"/>
          <w:sz w:val="18"/>
        </w:rPr>
        <w:t>Figura 9. Tasa de conversión por número de intentos de contacto. El color verde (≤3 contactos) vs rojo (&gt;3) evidencia el punto de saturación. La línea dorada marca el umbral en 3 contactos. Generado en la celda 19 del notebook.</w:t>
      </w:r>
    </w:p>
    <w:p>
      <w:pPr>
        <w:spacing w:before="120"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Contactos</w:t>
            </w:r>
          </w:p>
        </w:tc>
        <w:tc>
          <w:tcPr>
            <w:tcW w:type="dxa" w:w="3135"/>
            <w:shd w:fill="1F3864"/>
          </w:tcPr>
          <w:p>
            <w:pPr>
              <w:jc w:val="center"/>
            </w:pPr>
            <w:r/>
            <w:r>
              <w:rPr>
                <w:rFonts w:ascii="Calibri" w:hAnsi="Calibri"/>
                <w:b/>
                <w:i w:val="0"/>
                <w:color w:val="FFFFFF"/>
                <w:sz w:val="20"/>
              </w:rPr>
              <w:t>Conversión</w:t>
            </w:r>
          </w:p>
        </w:tc>
        <w:tc>
          <w:tcPr>
            <w:tcW w:type="dxa" w:w="3135"/>
            <w:shd w:fill="1F3864"/>
          </w:tcPr>
          <w:p>
            <w:pPr>
              <w:jc w:val="center"/>
            </w:pPr>
            <w:r/>
            <w:r>
              <w:rPr>
                <w:rFonts w:ascii="Calibri" w:hAnsi="Calibri"/>
                <w:b/>
                <w:i w:val="0"/>
                <w:color w:val="FFFFFF"/>
                <w:sz w:val="20"/>
              </w:rPr>
              <w:t>Observación</w:t>
            </w:r>
          </w:p>
        </w:tc>
      </w:tr>
      <w:tr>
        <w:tc>
          <w:tcPr>
            <w:tcW w:type="dxa" w:w="3135"/>
            <w:shd w:fill="F2F2F2"/>
          </w:tcPr>
          <w:p>
            <w:r/>
            <w:r>
              <w:rPr>
                <w:rFonts w:ascii="Calibri" w:hAnsi="Calibri"/>
                <w:b w:val="0"/>
                <w:i w:val="0"/>
                <w:color w:val="404040"/>
                <w:sz w:val="20"/>
              </w:rPr>
              <w:t>1</w:t>
            </w:r>
          </w:p>
        </w:tc>
        <w:tc>
          <w:tcPr>
            <w:tcW w:type="dxa" w:w="3135"/>
            <w:shd w:fill="F2F2F2"/>
          </w:tcPr>
          <w:p>
            <w:r/>
            <w:r>
              <w:rPr>
                <w:rFonts w:ascii="Calibri" w:hAnsi="Calibri"/>
                <w:b w:val="0"/>
                <w:i w:val="0"/>
                <w:color w:val="404040"/>
                <w:sz w:val="20"/>
              </w:rPr>
              <w:t>13.00%</w:t>
            </w:r>
          </w:p>
        </w:tc>
        <w:tc>
          <w:tcPr>
            <w:tcW w:type="dxa" w:w="3135"/>
            <w:shd w:fill="F2F2F2"/>
          </w:tcPr>
          <w:p>
            <w:r/>
            <w:r>
              <w:rPr>
                <w:rFonts w:ascii="Calibri" w:hAnsi="Calibri"/>
                <w:b w:val="0"/>
                <w:i w:val="0"/>
                <w:color w:val="404040"/>
                <w:sz w:val="20"/>
              </w:rPr>
              <w:t>Mejor resultado con primer contacto</w:t>
            </w:r>
          </w:p>
        </w:tc>
      </w:tr>
      <w:tr>
        <w:tc>
          <w:tcPr>
            <w:tcW w:type="dxa" w:w="3135"/>
          </w:tcPr>
          <w:p>
            <w:r/>
            <w:r>
              <w:rPr>
                <w:rFonts w:ascii="Calibri" w:hAnsi="Calibri"/>
                <w:b w:val="0"/>
                <w:i w:val="0"/>
                <w:color w:val="404040"/>
                <w:sz w:val="20"/>
              </w:rPr>
              <w:t>2</w:t>
            </w:r>
          </w:p>
        </w:tc>
        <w:tc>
          <w:tcPr>
            <w:tcW w:type="dxa" w:w="3135"/>
          </w:tcPr>
          <w:p>
            <w:r/>
            <w:r>
              <w:rPr>
                <w:rFonts w:ascii="Calibri" w:hAnsi="Calibri"/>
                <w:b w:val="0"/>
                <w:i w:val="0"/>
                <w:color w:val="404040"/>
                <w:sz w:val="20"/>
              </w:rPr>
              <w:t>11.48%</w:t>
            </w:r>
          </w:p>
        </w:tc>
        <w:tc>
          <w:tcPr>
            <w:tcW w:type="dxa" w:w="3135"/>
          </w:tcPr>
          <w:p>
            <w:r/>
            <w:r>
              <w:rPr>
                <w:rFonts w:ascii="Calibri" w:hAnsi="Calibri"/>
                <w:b w:val="0"/>
                <w:i w:val="0"/>
                <w:color w:val="404040"/>
                <w:sz w:val="20"/>
              </w:rPr>
              <w:t>Caída de ~1.5pp</w:t>
            </w:r>
          </w:p>
        </w:tc>
      </w:tr>
      <w:tr>
        <w:tc>
          <w:tcPr>
            <w:tcW w:type="dxa" w:w="3135"/>
            <w:shd w:fill="F2F2F2"/>
          </w:tcPr>
          <w:p>
            <w:r/>
            <w:r>
              <w:rPr>
                <w:rFonts w:ascii="Calibri" w:hAnsi="Calibri"/>
                <w:b w:val="0"/>
                <w:i w:val="0"/>
                <w:color w:val="404040"/>
                <w:sz w:val="20"/>
              </w:rPr>
              <w:t>3</w:t>
            </w:r>
          </w:p>
        </w:tc>
        <w:tc>
          <w:tcPr>
            <w:tcW w:type="dxa" w:w="3135"/>
            <w:shd w:fill="F2F2F2"/>
          </w:tcPr>
          <w:p>
            <w:r/>
            <w:r>
              <w:rPr>
                <w:rFonts w:ascii="Calibri" w:hAnsi="Calibri"/>
                <w:b w:val="0"/>
                <w:i w:val="0"/>
                <w:color w:val="404040"/>
                <w:sz w:val="20"/>
              </w:rPr>
              <w:t>10.78%</w:t>
            </w:r>
          </w:p>
        </w:tc>
        <w:tc>
          <w:tcPr>
            <w:tcW w:type="dxa" w:w="3135"/>
            <w:shd w:fill="F2F2F2"/>
          </w:tcPr>
          <w:p>
            <w:r/>
            <w:r>
              <w:rPr>
                <w:rFonts w:ascii="Calibri" w:hAnsi="Calibri"/>
                <w:b w:val="0"/>
                <w:i w:val="0"/>
                <w:color w:val="404040"/>
                <w:sz w:val="20"/>
              </w:rPr>
              <w:t>Último nivel aceptable</w:t>
            </w:r>
          </w:p>
        </w:tc>
      </w:tr>
      <w:tr>
        <w:tc>
          <w:tcPr>
            <w:tcW w:type="dxa" w:w="3135"/>
          </w:tcPr>
          <w:p>
            <w:r/>
            <w:r>
              <w:rPr>
                <w:rFonts w:ascii="Calibri" w:hAnsi="Calibri"/>
                <w:b w:val="0"/>
                <w:i w:val="0"/>
                <w:color w:val="404040"/>
                <w:sz w:val="20"/>
              </w:rPr>
              <w:t>4</w:t>
            </w:r>
          </w:p>
        </w:tc>
        <w:tc>
          <w:tcPr>
            <w:tcW w:type="dxa" w:w="3135"/>
          </w:tcPr>
          <w:p>
            <w:r/>
            <w:r>
              <w:rPr>
                <w:rFonts w:ascii="Calibri" w:hAnsi="Calibri"/>
                <w:b w:val="0"/>
                <w:i w:val="0"/>
                <w:color w:val="404040"/>
                <w:sz w:val="20"/>
              </w:rPr>
              <w:t>9.59%</w:t>
            </w:r>
          </w:p>
        </w:tc>
        <w:tc>
          <w:tcPr>
            <w:tcW w:type="dxa" w:w="3135"/>
          </w:tcPr>
          <w:p>
            <w:r/>
            <w:r>
              <w:rPr>
                <w:rFonts w:ascii="Calibri" w:hAnsi="Calibri"/>
                <w:b w:val="0"/>
                <w:i w:val="0"/>
                <w:color w:val="404040"/>
                <w:sz w:val="20"/>
              </w:rPr>
              <w:t>Rendimiento decreciente</w:t>
            </w:r>
          </w:p>
        </w:tc>
      </w:tr>
      <w:tr>
        <w:tc>
          <w:tcPr>
            <w:tcW w:type="dxa" w:w="3135"/>
            <w:shd w:fill="F2F2F2"/>
          </w:tcPr>
          <w:p>
            <w:r/>
            <w:r>
              <w:rPr>
                <w:rFonts w:ascii="Calibri" w:hAnsi="Calibri"/>
                <w:b w:val="0"/>
                <w:i w:val="0"/>
                <w:color w:val="404040"/>
                <w:sz w:val="20"/>
              </w:rPr>
              <w:t>5</w:t>
            </w:r>
          </w:p>
        </w:tc>
        <w:tc>
          <w:tcPr>
            <w:tcW w:type="dxa" w:w="3135"/>
            <w:shd w:fill="F2F2F2"/>
          </w:tcPr>
          <w:p>
            <w:r/>
            <w:r>
              <w:rPr>
                <w:rFonts w:ascii="Calibri" w:hAnsi="Calibri"/>
                <w:b w:val="0"/>
                <w:i w:val="0"/>
                <w:color w:val="404040"/>
                <w:sz w:val="20"/>
              </w:rPr>
              <w:t>7.51%</w:t>
            </w:r>
          </w:p>
        </w:tc>
        <w:tc>
          <w:tcPr>
            <w:tcW w:type="dxa" w:w="3135"/>
            <w:shd w:fill="F2F2F2"/>
          </w:tcPr>
          <w:p>
            <w:r/>
            <w:r>
              <w:rPr>
                <w:rFonts w:ascii="Calibri" w:hAnsi="Calibri"/>
                <w:b w:val="0"/>
                <w:i w:val="0"/>
                <w:color w:val="404040"/>
                <w:sz w:val="20"/>
              </w:rPr>
              <w:t>Rendimiento decreciente</w:t>
            </w:r>
          </w:p>
        </w:tc>
      </w:tr>
      <w:tr>
        <w:tc>
          <w:tcPr>
            <w:tcW w:type="dxa" w:w="3135"/>
          </w:tcPr>
          <w:p>
            <w:r/>
            <w:r>
              <w:rPr>
                <w:rFonts w:ascii="Calibri" w:hAnsi="Calibri"/>
                <w:b w:val="0"/>
                <w:i w:val="0"/>
                <w:color w:val="404040"/>
                <w:sz w:val="20"/>
              </w:rPr>
              <w:t>&gt;10</w:t>
            </w:r>
          </w:p>
        </w:tc>
        <w:tc>
          <w:tcPr>
            <w:tcW w:type="dxa" w:w="3135"/>
          </w:tcPr>
          <w:p>
            <w:r/>
            <w:r>
              <w:rPr>
                <w:rFonts w:ascii="Calibri" w:hAnsi="Calibri"/>
                <w:b w:val="0"/>
                <w:i w:val="0"/>
                <w:color w:val="404040"/>
                <w:sz w:val="20"/>
              </w:rPr>
              <w:t>~5%</w:t>
            </w:r>
          </w:p>
        </w:tc>
        <w:tc>
          <w:tcPr>
            <w:tcW w:type="dxa" w:w="3135"/>
          </w:tcPr>
          <w:p>
            <w:r/>
            <w:r>
              <w:rPr>
                <w:rFonts w:ascii="Calibri" w:hAnsi="Calibri"/>
                <w:b w:val="0"/>
                <w:i w:val="0"/>
                <w:color w:val="404040"/>
                <w:sz w:val="20"/>
              </w:rPr>
              <w:t>Contraproducente</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La variable high_contact_attempts confirma el umbral: los clientes contactados ≤3 veces convierten al 12.17%, mientras que los contactados &gt;3 veces bajan a 7.36%. Insistir más allá de 3 intentos es contraproducente.</w:t>
      </w:r>
    </w:p>
    <w:p>
      <w:pPr>
        <w:pStyle w:val="Heading2"/>
      </w:pPr>
      <w:r>
        <w:rPr>
          <w:rFonts w:ascii="Calibri" w:hAnsi="Calibri"/>
          <w:color w:val="1F3864"/>
        </w:rPr>
        <w:t>7.2 Mes y Día del Contacto</w:t>
      </w:r>
    </w:p>
    <w:p>
      <w:pPr>
        <w:spacing w:after="120"/>
      </w:pPr>
      <w:r>
        <w:rPr>
          <w:rFonts w:ascii="Calibri" w:hAnsi="Calibri"/>
          <w:b/>
          <w:i w:val="0"/>
          <w:color w:val="404040"/>
          <w:sz w:val="22"/>
        </w:rPr>
        <w:t>Mes del contacto (crosstab normalizado, celda 39):</w:t>
      </w:r>
    </w:p>
    <w:p>
      <w:pPr>
        <w:jc w:val="center"/>
      </w:pPr>
      <w:r>
        <w:drawing>
          <wp:inline xmlns:a="http://schemas.openxmlformats.org/drawingml/2006/main" xmlns:pic="http://schemas.openxmlformats.org/drawingml/2006/picture">
            <wp:extent cx="5486400" cy="2129309"/>
            <wp:docPr id="8" name="Picture 8"/>
            <wp:cNvGraphicFramePr>
              <a:graphicFrameLocks noChangeAspect="1"/>
            </wp:cNvGraphicFramePr>
            <a:graphic>
              <a:graphicData uri="http://schemas.openxmlformats.org/drawingml/2006/picture">
                <pic:pic>
                  <pic:nvPicPr>
                    <pic:cNvPr id="0" name="fig14_conversion_mes_dual.png"/>
                    <pic:cNvPicPr/>
                  </pic:nvPicPr>
                  <pic:blipFill>
                    <a:blip r:embed="rId16"/>
                    <a:stretch>
                      <a:fillRect/>
                    </a:stretch>
                  </pic:blipFill>
                  <pic:spPr>
                    <a:xfrm>
                      <a:off x="0" y="0"/>
                      <a:ext cx="5486400" cy="2129309"/>
                    </a:xfrm>
                    <a:prstGeom prst="rect"/>
                  </pic:spPr>
                </pic:pic>
              </a:graphicData>
            </a:graphic>
          </wp:inline>
        </w:drawing>
      </w:r>
    </w:p>
    <w:p>
      <w:pPr>
        <w:jc w:val="center"/>
      </w:pPr>
      <w:r>
        <w:rPr>
          <w:rFonts w:ascii="Calibri" w:hAnsi="Calibri"/>
          <w:i/>
          <w:color w:val="808080"/>
          <w:sz w:val="18"/>
        </w:rPr>
        <w:t>Figura 10. Panel dual: (izq.) tasa de conversión por mes — marzo lidera con 50.75%; (der.) volumen de contactos — mayo concentra el 33% de los contactos con solo 6.47% de conversión, sugiriendo campaña masiva poco segmentada. Datos de la celda 39 del notebook.</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Mes</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Patrón</w:t>
            </w:r>
          </w:p>
        </w:tc>
      </w:tr>
      <w:tr>
        <w:tc>
          <w:tcPr>
            <w:tcW w:type="dxa" w:w="2351"/>
            <w:shd w:fill="F2F2F2"/>
          </w:tcPr>
          <w:p>
            <w:r/>
            <w:r>
              <w:rPr>
                <w:rFonts w:ascii="Calibri" w:hAnsi="Calibri"/>
                <w:b w:val="0"/>
                <w:i w:val="0"/>
                <w:color w:val="404040"/>
                <w:sz w:val="20"/>
              </w:rPr>
              <w:t>Marzo</w:t>
            </w:r>
          </w:p>
        </w:tc>
        <w:tc>
          <w:tcPr>
            <w:tcW w:type="dxa" w:w="2351"/>
            <w:shd w:fill="F2F2F2"/>
          </w:tcPr>
          <w:p>
            <w:r/>
            <w:r>
              <w:rPr>
                <w:rFonts w:ascii="Calibri" w:hAnsi="Calibri"/>
                <w:b w:val="0"/>
                <w:i w:val="0"/>
                <w:color w:val="404040"/>
                <w:sz w:val="20"/>
              </w:rPr>
              <w:t>534</w:t>
            </w:r>
          </w:p>
        </w:tc>
        <w:tc>
          <w:tcPr>
            <w:tcW w:type="dxa" w:w="2351"/>
            <w:shd w:fill="F2F2F2"/>
          </w:tcPr>
          <w:p>
            <w:r/>
            <w:r>
              <w:rPr>
                <w:rFonts w:ascii="Calibri" w:hAnsi="Calibri"/>
                <w:b w:val="0"/>
                <w:i w:val="0"/>
                <w:color w:val="404040"/>
                <w:sz w:val="20"/>
              </w:rPr>
              <w:t>50.75%</w:t>
            </w:r>
          </w:p>
        </w:tc>
        <w:tc>
          <w:tcPr>
            <w:tcW w:type="dxa" w:w="2351"/>
            <w:shd w:fill="F2F2F2"/>
          </w:tcPr>
          <w:p>
            <w:r/>
            <w:r>
              <w:rPr>
                <w:rFonts w:ascii="Calibri" w:hAnsi="Calibri"/>
                <w:b w:val="0"/>
                <w:i w:val="0"/>
                <w:color w:val="404040"/>
                <w:sz w:val="20"/>
              </w:rPr>
              <w:t>★ Máxima conversión, bajo volumen</w:t>
            </w:r>
          </w:p>
        </w:tc>
      </w:tr>
      <w:tr>
        <w:tc>
          <w:tcPr>
            <w:tcW w:type="dxa" w:w="2351"/>
          </w:tcPr>
          <w:p>
            <w:r/>
            <w:r>
              <w:rPr>
                <w:rFonts w:ascii="Calibri" w:hAnsi="Calibri"/>
                <w:b w:val="0"/>
                <w:i w:val="0"/>
                <w:color w:val="404040"/>
                <w:sz w:val="20"/>
              </w:rPr>
              <w:t>Diciembre</w:t>
            </w:r>
          </w:p>
        </w:tc>
        <w:tc>
          <w:tcPr>
            <w:tcW w:type="dxa" w:w="2351"/>
          </w:tcPr>
          <w:p>
            <w:r/>
            <w:r>
              <w:rPr>
                <w:rFonts w:ascii="Calibri" w:hAnsi="Calibri"/>
                <w:b w:val="0"/>
                <w:i w:val="0"/>
                <w:color w:val="404040"/>
                <w:sz w:val="20"/>
              </w:rPr>
              <w:t>176</w:t>
            </w:r>
          </w:p>
        </w:tc>
        <w:tc>
          <w:tcPr>
            <w:tcW w:type="dxa" w:w="2351"/>
          </w:tcPr>
          <w:p>
            <w:r/>
            <w:r>
              <w:rPr>
                <w:rFonts w:ascii="Calibri" w:hAnsi="Calibri"/>
                <w:b w:val="0"/>
                <w:i w:val="0"/>
                <w:color w:val="404040"/>
                <w:sz w:val="20"/>
              </w:rPr>
              <w:t>48.86%</w:t>
            </w:r>
          </w:p>
        </w:tc>
        <w:tc>
          <w:tcPr>
            <w:tcW w:type="dxa" w:w="2351"/>
          </w:tcPr>
          <w:p>
            <w:r/>
            <w:r>
              <w:rPr>
                <w:rFonts w:ascii="Calibri" w:hAnsi="Calibri"/>
                <w:b w:val="0"/>
                <w:i w:val="0"/>
                <w:color w:val="404040"/>
                <w:sz w:val="20"/>
              </w:rPr>
              <w:t>★ Alta conversión, muy bajo volumen</w:t>
            </w:r>
          </w:p>
        </w:tc>
      </w:tr>
      <w:tr>
        <w:tc>
          <w:tcPr>
            <w:tcW w:type="dxa" w:w="2351"/>
            <w:shd w:fill="F2F2F2"/>
          </w:tcPr>
          <w:p>
            <w:r/>
            <w:r>
              <w:rPr>
                <w:rFonts w:ascii="Calibri" w:hAnsi="Calibri"/>
                <w:b w:val="0"/>
                <w:i w:val="0"/>
                <w:color w:val="404040"/>
                <w:sz w:val="20"/>
              </w:rPr>
              <w:t>Septiembre</w:t>
            </w:r>
          </w:p>
        </w:tc>
        <w:tc>
          <w:tcPr>
            <w:tcW w:type="dxa" w:w="2351"/>
            <w:shd w:fill="F2F2F2"/>
          </w:tcPr>
          <w:p>
            <w:r/>
            <w:r>
              <w:rPr>
                <w:rFonts w:ascii="Calibri" w:hAnsi="Calibri"/>
                <w:b w:val="0"/>
                <w:i w:val="0"/>
                <w:color w:val="404040"/>
                <w:sz w:val="20"/>
              </w:rPr>
              <w:t>554</w:t>
            </w:r>
          </w:p>
        </w:tc>
        <w:tc>
          <w:tcPr>
            <w:tcW w:type="dxa" w:w="2351"/>
            <w:shd w:fill="F2F2F2"/>
          </w:tcPr>
          <w:p>
            <w:r/>
            <w:r>
              <w:rPr>
                <w:rFonts w:ascii="Calibri" w:hAnsi="Calibri"/>
                <w:b w:val="0"/>
                <w:i w:val="0"/>
                <w:color w:val="404040"/>
                <w:sz w:val="20"/>
              </w:rPr>
              <w:t>44.58%</w:t>
            </w:r>
          </w:p>
        </w:tc>
        <w:tc>
          <w:tcPr>
            <w:tcW w:type="dxa" w:w="2351"/>
            <w:shd w:fill="F2F2F2"/>
          </w:tcPr>
          <w:p>
            <w:r/>
            <w:r>
              <w:rPr>
                <w:rFonts w:ascii="Calibri" w:hAnsi="Calibri"/>
                <w:b w:val="0"/>
                <w:i w:val="0"/>
                <w:color w:val="404040"/>
                <w:sz w:val="20"/>
              </w:rPr>
              <w:t>★ Alta conversión, bajo volumen</w:t>
            </w:r>
          </w:p>
        </w:tc>
      </w:tr>
      <w:tr>
        <w:tc>
          <w:tcPr>
            <w:tcW w:type="dxa" w:w="2351"/>
          </w:tcPr>
          <w:p>
            <w:r/>
            <w:r>
              <w:rPr>
                <w:rFonts w:ascii="Calibri" w:hAnsi="Calibri"/>
                <w:b w:val="0"/>
                <w:i w:val="0"/>
                <w:color w:val="404040"/>
                <w:sz w:val="20"/>
              </w:rPr>
              <w:t>Octubre</w:t>
            </w:r>
          </w:p>
        </w:tc>
        <w:tc>
          <w:tcPr>
            <w:tcW w:type="dxa" w:w="2351"/>
          </w:tcPr>
          <w:p>
            <w:r/>
            <w:r>
              <w:rPr>
                <w:rFonts w:ascii="Calibri" w:hAnsi="Calibri"/>
                <w:b w:val="0"/>
                <w:i w:val="0"/>
                <w:color w:val="404040"/>
                <w:sz w:val="20"/>
              </w:rPr>
              <w:t>697</w:t>
            </w:r>
          </w:p>
        </w:tc>
        <w:tc>
          <w:tcPr>
            <w:tcW w:type="dxa" w:w="2351"/>
          </w:tcPr>
          <w:p>
            <w:r/>
            <w:r>
              <w:rPr>
                <w:rFonts w:ascii="Calibri" w:hAnsi="Calibri"/>
                <w:b w:val="0"/>
                <w:i w:val="0"/>
                <w:color w:val="404040"/>
                <w:sz w:val="20"/>
              </w:rPr>
              <w:t>43.90%</w:t>
            </w:r>
          </w:p>
        </w:tc>
        <w:tc>
          <w:tcPr>
            <w:tcW w:type="dxa" w:w="2351"/>
          </w:tcPr>
          <w:p>
            <w:r/>
            <w:r>
              <w:rPr>
                <w:rFonts w:ascii="Calibri" w:hAnsi="Calibri"/>
                <w:b w:val="0"/>
                <w:i w:val="0"/>
                <w:color w:val="404040"/>
                <w:sz w:val="20"/>
              </w:rPr>
              <w:t>★ Alta conversión, bajo volumen</w:t>
            </w:r>
          </w:p>
        </w:tc>
      </w:tr>
      <w:tr>
        <w:tc>
          <w:tcPr>
            <w:tcW w:type="dxa" w:w="2351"/>
            <w:shd w:fill="F2F2F2"/>
          </w:tcPr>
          <w:p>
            <w:r/>
            <w:r>
              <w:rPr>
                <w:rFonts w:ascii="Calibri" w:hAnsi="Calibri"/>
                <w:b w:val="0"/>
                <w:i w:val="0"/>
                <w:color w:val="404040"/>
                <w:sz w:val="20"/>
              </w:rPr>
              <w:t>Abril</w:t>
            </w:r>
          </w:p>
        </w:tc>
        <w:tc>
          <w:tcPr>
            <w:tcW w:type="dxa" w:w="2351"/>
            <w:shd w:fill="F2F2F2"/>
          </w:tcPr>
          <w:p>
            <w:r/>
            <w:r>
              <w:rPr>
                <w:rFonts w:ascii="Calibri" w:hAnsi="Calibri"/>
                <w:b w:val="0"/>
                <w:i w:val="0"/>
                <w:color w:val="404040"/>
                <w:sz w:val="20"/>
              </w:rPr>
              <w:t>2.573</w:t>
            </w:r>
          </w:p>
        </w:tc>
        <w:tc>
          <w:tcPr>
            <w:tcW w:type="dxa" w:w="2351"/>
            <w:shd w:fill="F2F2F2"/>
          </w:tcPr>
          <w:p>
            <w:r/>
            <w:r>
              <w:rPr>
                <w:rFonts w:ascii="Calibri" w:hAnsi="Calibri"/>
                <w:b w:val="0"/>
                <w:i w:val="0"/>
                <w:color w:val="404040"/>
                <w:sz w:val="20"/>
              </w:rPr>
              <w:t>20.37%</w:t>
            </w:r>
          </w:p>
        </w:tc>
        <w:tc>
          <w:tcPr>
            <w:tcW w:type="dxa" w:w="2351"/>
            <w:shd w:fill="F2F2F2"/>
          </w:tcPr>
          <w:p>
            <w:r/>
            <w:r>
              <w:rPr>
                <w:rFonts w:ascii="Calibri" w:hAnsi="Calibri"/>
                <w:b w:val="0"/>
                <w:i w:val="0"/>
                <w:color w:val="404040"/>
                <w:sz w:val="20"/>
              </w:rPr>
              <w:t>Conversión moderada-alta</w:t>
            </w:r>
          </w:p>
        </w:tc>
      </w:tr>
      <w:tr>
        <w:tc>
          <w:tcPr>
            <w:tcW w:type="dxa" w:w="2351"/>
          </w:tcPr>
          <w:p>
            <w:r/>
            <w:r>
              <w:rPr>
                <w:rFonts w:ascii="Calibri" w:hAnsi="Calibri"/>
                <w:b w:val="0"/>
                <w:i w:val="0"/>
                <w:color w:val="404040"/>
                <w:sz w:val="20"/>
              </w:rPr>
              <w:t>Mayo</w:t>
            </w:r>
          </w:p>
        </w:tc>
        <w:tc>
          <w:tcPr>
            <w:tcW w:type="dxa" w:w="2351"/>
          </w:tcPr>
          <w:p>
            <w:r/>
            <w:r>
              <w:rPr>
                <w:rFonts w:ascii="Calibri" w:hAnsi="Calibri"/>
                <w:b w:val="0"/>
                <w:i w:val="0"/>
                <w:color w:val="404040"/>
                <w:sz w:val="20"/>
              </w:rPr>
              <w:t>13.417</w:t>
            </w:r>
          </w:p>
        </w:tc>
        <w:tc>
          <w:tcPr>
            <w:tcW w:type="dxa" w:w="2351"/>
          </w:tcPr>
          <w:p>
            <w:r/>
            <w:r>
              <w:rPr>
                <w:rFonts w:ascii="Calibri" w:hAnsi="Calibri"/>
                <w:b w:val="0"/>
                <w:i w:val="0"/>
                <w:color w:val="404040"/>
                <w:sz w:val="20"/>
              </w:rPr>
              <w:t>6.47%</w:t>
            </w:r>
          </w:p>
        </w:tc>
        <w:tc>
          <w:tcPr>
            <w:tcW w:type="dxa" w:w="2351"/>
          </w:tcPr>
          <w:p>
            <w:r/>
            <w:r>
              <w:rPr>
                <w:rFonts w:ascii="Calibri" w:hAnsi="Calibri"/>
                <w:b w:val="0"/>
                <w:i w:val="0"/>
                <w:color w:val="404040"/>
                <w:sz w:val="20"/>
              </w:rPr>
              <w:t>⬇ Máximo volumen, mínima conversión</w:t>
            </w:r>
          </w:p>
        </w:tc>
      </w:tr>
    </w:tbl>
    <w:p>
      <w:pPr>
        <w:spacing w:after="120"/>
      </w:pPr>
      <w:r>
        <w:rPr>
          <w:rFonts w:ascii="Calibri" w:hAnsi="Calibri"/>
          <w:b/>
          <w:i w:val="0"/>
          <w:color w:val="404040"/>
          <w:sz w:val="22"/>
        </w:rPr>
        <w:t>Hallazgo: El volumen de contactos es inversamente proporcional a la conversión. Mayo concentra el 33% de los contactos pero solo el 6.47% de conversión, sugiriendo una campaña masiva poco segmentada.</w:t>
      </w:r>
    </w:p>
    <w:p>
      <w:pPr>
        <w:spacing w:after="120"/>
      </w:pPr>
      <w:r>
        <w:rPr>
          <w:rFonts w:ascii="Calibri" w:hAnsi="Calibri"/>
          <w:b w:val="0"/>
          <w:i w:val="0"/>
          <w:color w:val="404040"/>
          <w:sz w:val="22"/>
        </w:rPr>
      </w:r>
    </w:p>
    <w:p>
      <w:pPr>
        <w:spacing w:after="120"/>
      </w:pPr>
      <w:r>
        <w:rPr>
          <w:rFonts w:ascii="Calibri" w:hAnsi="Calibri"/>
          <w:b/>
          <w:i w:val="0"/>
          <w:color w:val="404040"/>
          <w:sz w:val="22"/>
        </w:rPr>
        <w:t>Día de la semana (crosstab normalizado, celda 40):</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Día</w:t>
            </w:r>
          </w:p>
        </w:tc>
        <w:tc>
          <w:tcPr>
            <w:tcW w:type="dxa" w:w="3135"/>
            <w:shd w:fill="1F3864"/>
          </w:tcPr>
          <w:p>
            <w:pPr>
              <w:jc w:val="center"/>
            </w:pPr>
            <w:r/>
            <w:r>
              <w:rPr>
                <w:rFonts w:ascii="Calibri" w:hAnsi="Calibri"/>
                <w:b/>
                <w:i w:val="0"/>
                <w:color w:val="FFFFFF"/>
                <w:sz w:val="20"/>
              </w:rPr>
              <w:t>Registros</w:t>
            </w:r>
          </w:p>
        </w:tc>
        <w:tc>
          <w:tcPr>
            <w:tcW w:type="dxa" w:w="3135"/>
            <w:shd w:fill="1F3864"/>
          </w:tcPr>
          <w:p>
            <w:pPr>
              <w:jc w:val="center"/>
            </w:pPr>
            <w:r/>
            <w:r>
              <w:rPr>
                <w:rFonts w:ascii="Calibri" w:hAnsi="Calibri"/>
                <w:b/>
                <w:i w:val="0"/>
                <w:color w:val="FFFFFF"/>
                <w:sz w:val="20"/>
              </w:rPr>
              <w:t>Conversión</w:t>
            </w:r>
          </w:p>
        </w:tc>
      </w:tr>
      <w:tr>
        <w:tc>
          <w:tcPr>
            <w:tcW w:type="dxa" w:w="3135"/>
            <w:shd w:fill="F2F2F2"/>
          </w:tcPr>
          <w:p>
            <w:r/>
            <w:r>
              <w:rPr>
                <w:rFonts w:ascii="Calibri" w:hAnsi="Calibri"/>
                <w:b w:val="0"/>
                <w:i w:val="0"/>
                <w:color w:val="404040"/>
                <w:sz w:val="20"/>
              </w:rPr>
              <w:t>Jueves</w:t>
            </w:r>
          </w:p>
        </w:tc>
        <w:tc>
          <w:tcPr>
            <w:tcW w:type="dxa" w:w="3135"/>
            <w:shd w:fill="F2F2F2"/>
          </w:tcPr>
          <w:p>
            <w:r/>
            <w:r>
              <w:rPr>
                <w:rFonts w:ascii="Calibri" w:hAnsi="Calibri"/>
                <w:b w:val="0"/>
                <w:i w:val="0"/>
                <w:color w:val="404040"/>
                <w:sz w:val="20"/>
              </w:rPr>
              <w:t>8.429</w:t>
            </w:r>
          </w:p>
        </w:tc>
        <w:tc>
          <w:tcPr>
            <w:tcW w:type="dxa" w:w="3135"/>
            <w:shd w:fill="F2F2F2"/>
          </w:tcPr>
          <w:p>
            <w:r/>
            <w:r>
              <w:rPr>
                <w:rFonts w:ascii="Calibri" w:hAnsi="Calibri"/>
                <w:b w:val="0"/>
                <w:i w:val="0"/>
                <w:color w:val="404040"/>
                <w:sz w:val="20"/>
              </w:rPr>
              <w:t>12.08%</w:t>
            </w:r>
          </w:p>
        </w:tc>
      </w:tr>
      <w:tr>
        <w:tc>
          <w:tcPr>
            <w:tcW w:type="dxa" w:w="3135"/>
          </w:tcPr>
          <w:p>
            <w:r/>
            <w:r>
              <w:rPr>
                <w:rFonts w:ascii="Calibri" w:hAnsi="Calibri"/>
                <w:b w:val="0"/>
                <w:i w:val="0"/>
                <w:color w:val="404040"/>
                <w:sz w:val="20"/>
              </w:rPr>
              <w:t>Miércoles</w:t>
            </w:r>
          </w:p>
        </w:tc>
        <w:tc>
          <w:tcPr>
            <w:tcW w:type="dxa" w:w="3135"/>
          </w:tcPr>
          <w:p>
            <w:r/>
            <w:r>
              <w:rPr>
                <w:rFonts w:ascii="Calibri" w:hAnsi="Calibri"/>
                <w:b w:val="0"/>
                <w:i w:val="0"/>
                <w:color w:val="404040"/>
                <w:sz w:val="20"/>
              </w:rPr>
              <w:t>7.937</w:t>
            </w:r>
          </w:p>
        </w:tc>
        <w:tc>
          <w:tcPr>
            <w:tcW w:type="dxa" w:w="3135"/>
          </w:tcPr>
          <w:p>
            <w:r/>
            <w:r>
              <w:rPr>
                <w:rFonts w:ascii="Calibri" w:hAnsi="Calibri"/>
                <w:b w:val="0"/>
                <w:i w:val="0"/>
                <w:color w:val="404040"/>
                <w:sz w:val="20"/>
              </w:rPr>
              <w:t>11.77%</w:t>
            </w:r>
          </w:p>
        </w:tc>
      </w:tr>
      <w:tr>
        <w:tc>
          <w:tcPr>
            <w:tcW w:type="dxa" w:w="3135"/>
            <w:shd w:fill="F2F2F2"/>
          </w:tcPr>
          <w:p>
            <w:r/>
            <w:r>
              <w:rPr>
                <w:rFonts w:ascii="Calibri" w:hAnsi="Calibri"/>
                <w:b w:val="0"/>
                <w:i w:val="0"/>
                <w:color w:val="404040"/>
                <w:sz w:val="20"/>
              </w:rPr>
              <w:t>Martes</w:t>
            </w:r>
          </w:p>
        </w:tc>
        <w:tc>
          <w:tcPr>
            <w:tcW w:type="dxa" w:w="3135"/>
            <w:shd w:fill="F2F2F2"/>
          </w:tcPr>
          <w:p>
            <w:r/>
            <w:r>
              <w:rPr>
                <w:rFonts w:ascii="Calibri" w:hAnsi="Calibri"/>
                <w:b w:val="0"/>
                <w:i w:val="0"/>
                <w:color w:val="404040"/>
                <w:sz w:val="20"/>
              </w:rPr>
              <w:t>7.876</w:t>
            </w:r>
          </w:p>
        </w:tc>
        <w:tc>
          <w:tcPr>
            <w:tcW w:type="dxa" w:w="3135"/>
            <w:shd w:fill="F2F2F2"/>
          </w:tcPr>
          <w:p>
            <w:r/>
            <w:r>
              <w:rPr>
                <w:rFonts w:ascii="Calibri" w:hAnsi="Calibri"/>
                <w:b w:val="0"/>
                <w:i w:val="0"/>
                <w:color w:val="404040"/>
                <w:sz w:val="20"/>
              </w:rPr>
              <w:t>11.72%</w:t>
            </w:r>
          </w:p>
        </w:tc>
      </w:tr>
      <w:tr>
        <w:tc>
          <w:tcPr>
            <w:tcW w:type="dxa" w:w="3135"/>
          </w:tcPr>
          <w:p>
            <w:r/>
            <w:r>
              <w:rPr>
                <w:rFonts w:ascii="Calibri" w:hAnsi="Calibri"/>
                <w:b w:val="0"/>
                <w:i w:val="0"/>
                <w:color w:val="404040"/>
                <w:sz w:val="20"/>
              </w:rPr>
              <w:t>Viernes</w:t>
            </w:r>
          </w:p>
        </w:tc>
        <w:tc>
          <w:tcPr>
            <w:tcW w:type="dxa" w:w="3135"/>
          </w:tcPr>
          <w:p>
            <w:r/>
            <w:r>
              <w:rPr>
                <w:rFonts w:ascii="Calibri" w:hAnsi="Calibri"/>
                <w:b w:val="0"/>
                <w:i w:val="0"/>
                <w:color w:val="404040"/>
                <w:sz w:val="20"/>
              </w:rPr>
              <w:t>7.623</w:t>
            </w:r>
          </w:p>
        </w:tc>
        <w:tc>
          <w:tcPr>
            <w:tcW w:type="dxa" w:w="3135"/>
          </w:tcPr>
          <w:p>
            <w:r/>
            <w:r>
              <w:rPr>
                <w:rFonts w:ascii="Calibri" w:hAnsi="Calibri"/>
                <w:b w:val="0"/>
                <w:i w:val="0"/>
                <w:color w:val="404040"/>
                <w:sz w:val="20"/>
              </w:rPr>
              <w:t>10.86%</w:t>
            </w:r>
          </w:p>
        </w:tc>
      </w:tr>
      <w:tr>
        <w:tc>
          <w:tcPr>
            <w:tcW w:type="dxa" w:w="3135"/>
            <w:shd w:fill="F2F2F2"/>
          </w:tcPr>
          <w:p>
            <w:r/>
            <w:r>
              <w:rPr>
                <w:rFonts w:ascii="Calibri" w:hAnsi="Calibri"/>
                <w:b w:val="0"/>
                <w:i w:val="0"/>
                <w:color w:val="404040"/>
                <w:sz w:val="20"/>
              </w:rPr>
              <w:t>Lunes</w:t>
            </w:r>
          </w:p>
        </w:tc>
        <w:tc>
          <w:tcPr>
            <w:tcW w:type="dxa" w:w="3135"/>
            <w:shd w:fill="F2F2F2"/>
          </w:tcPr>
          <w:p>
            <w:r/>
            <w:r>
              <w:rPr>
                <w:rFonts w:ascii="Calibri" w:hAnsi="Calibri"/>
                <w:b w:val="0"/>
                <w:i w:val="0"/>
                <w:color w:val="404040"/>
                <w:sz w:val="20"/>
              </w:rPr>
              <w:t>8.321</w:t>
            </w:r>
          </w:p>
        </w:tc>
        <w:tc>
          <w:tcPr>
            <w:tcW w:type="dxa" w:w="3135"/>
            <w:shd w:fill="F2F2F2"/>
          </w:tcPr>
          <w:p>
            <w:r/>
            <w:r>
              <w:rPr>
                <w:rFonts w:ascii="Calibri" w:hAnsi="Calibri"/>
                <w:b w:val="0"/>
                <w:i w:val="0"/>
                <w:color w:val="404040"/>
                <w:sz w:val="20"/>
              </w:rPr>
              <w:t>9.96%</w:t>
            </w:r>
          </w:p>
        </w:tc>
      </w:tr>
    </w:tbl>
    <w:p>
      <w:pPr>
        <w:spacing w:after="120"/>
      </w:pPr>
      <w:r>
        <w:rPr>
          <w:rFonts w:ascii="Calibri" w:hAnsi="Calibri"/>
          <w:b w:val="0"/>
          <w:i w:val="0"/>
          <w:color w:val="404040"/>
          <w:sz w:val="22"/>
        </w:rPr>
        <w:t>El jueves es el mejor día (12.08%) y el lunes el peor (9.96%). La distribución es equitativa (~20% por día).</w:t>
      </w:r>
    </w:p>
    <w:p>
      <w:pPr>
        <w:jc w:val="center"/>
      </w:pPr>
      <w:r>
        <w:drawing>
          <wp:inline xmlns:a="http://schemas.openxmlformats.org/drawingml/2006/main" xmlns:pic="http://schemas.openxmlformats.org/drawingml/2006/picture">
            <wp:extent cx="5486400" cy="3665621"/>
            <wp:docPr id="7" name="Picture 7"/>
            <wp:cNvGraphicFramePr>
              <a:graphicFrameLocks noChangeAspect="1"/>
            </wp:cNvGraphicFramePr>
            <a:graphic>
              <a:graphicData uri="http://schemas.openxmlformats.org/drawingml/2006/picture">
                <pic:pic>
                  <pic:nvPicPr>
                    <pic:cNvPr id="0" name="fig15_conversion_dia_semana.png"/>
                    <pic:cNvPicPr/>
                  </pic:nvPicPr>
                  <pic:blipFill>
                    <a:blip r:embed="rId15"/>
                    <a:stretch>
                      <a:fillRect/>
                    </a:stretch>
                  </pic:blipFill>
                  <pic:spPr>
                    <a:xfrm>
                      <a:off x="0" y="0"/>
                      <a:ext cx="5486400" cy="3665621"/>
                    </a:xfrm>
                    <a:prstGeom prst="rect"/>
                  </pic:spPr>
                </pic:pic>
              </a:graphicData>
            </a:graphic>
          </wp:inline>
        </w:drawing>
      </w:r>
    </w:p>
    <w:p>
      <w:pPr>
        <w:jc w:val="center"/>
      </w:pPr>
      <w:r>
        <w:rPr>
          <w:rFonts w:ascii="Calibri" w:hAnsi="Calibri"/>
          <w:i/>
          <w:color w:val="808080"/>
          <w:sz w:val="18"/>
        </w:rPr>
        <w:t>Figura 11. Tasa de conversión por día de la semana. El jueves (12.08%) es el mejor día y el lunes (9.96%) el peor, con una distribución equitativa de volumen (~20% por día). Datos de la celda 40 del notebook.</w:t>
      </w:r>
    </w:p>
    <w:p>
      <w:pPr>
        <w:spacing w:before="120" w:after="120"/>
      </w:pPr>
    </w:p>
    <w:p>
      <w:pPr>
        <w:pStyle w:val="Heading2"/>
      </w:pPr>
      <w:r>
        <w:rPr>
          <w:rFonts w:ascii="Calibri" w:hAnsi="Calibri"/>
          <w:color w:val="1F3864"/>
        </w:rPr>
        <w:t>7.3 Duración de la Llamada</w:t>
      </w:r>
    </w:p>
    <w:p>
      <w:pPr>
        <w:spacing w:after="120"/>
      </w:pPr>
      <w:r>
        <w:rPr>
          <w:rFonts w:ascii="Calibri" w:hAnsi="Calibri"/>
          <w:b w:val="0"/>
          <w:i/>
          <w:color w:val="404040"/>
          <w:sz w:val="22"/>
        </w:rPr>
        <w:t>⚠ Nota importante: La variable call_duration no se conoce antes de realizar la llamada, por lo que no puede ser utilizada como predictor en un modelo de producción. Sin embargo, el barplot de success_rate por call_duration_group (celda 18) revela que es el indicador más fuerte del interés del cliente.</w:t>
      </w:r>
    </w:p>
    <w:p>
      <w:pPr>
        <w:jc w:val="center"/>
      </w:pPr>
      <w:r>
        <w:drawing>
          <wp:inline xmlns:a="http://schemas.openxmlformats.org/drawingml/2006/main" xmlns:pic="http://schemas.openxmlformats.org/drawingml/2006/picture">
            <wp:extent cx="5486400" cy="3620544"/>
            <wp:docPr id="6" name="Picture 6"/>
            <wp:cNvGraphicFramePr>
              <a:graphicFrameLocks noChangeAspect="1"/>
            </wp:cNvGraphicFramePr>
            <a:graphic>
              <a:graphicData uri="http://schemas.openxmlformats.org/drawingml/2006/picture">
                <pic:pic>
                  <pic:nvPicPr>
                    <pic:cNvPr id="0" name="fig08_conversion_call_duration.png"/>
                    <pic:cNvPicPr/>
                  </pic:nvPicPr>
                  <pic:blipFill>
                    <a:blip r:embed="rId14"/>
                    <a:stretch>
                      <a:fillRect/>
                    </a:stretch>
                  </pic:blipFill>
                  <pic:spPr>
                    <a:xfrm>
                      <a:off x="0" y="0"/>
                      <a:ext cx="5486400" cy="3620544"/>
                    </a:xfrm>
                    <a:prstGeom prst="rect"/>
                  </pic:spPr>
                </pic:pic>
              </a:graphicData>
            </a:graphic>
          </wp:inline>
        </w:drawing>
      </w:r>
    </w:p>
    <w:p>
      <w:pPr>
        <w:jc w:val="center"/>
      </w:pPr>
      <w:r>
        <w:rPr>
          <w:rFonts w:ascii="Calibri" w:hAnsi="Calibri"/>
          <w:i/>
          <w:color w:val="808080"/>
          <w:sz w:val="18"/>
        </w:rPr>
        <w:t>Figura 12. Probabilidad de suscripción por grupo de duración de llamada. Relación proporcional directa: de 0.02% (&lt; 1 min) a 63.25% (21+ min). Generado en la celda 18 del notebook. ⚠ Nota: call_duration no es utilizable como predictor a priori.</w:t>
      </w:r>
    </w:p>
    <w:p>
      <w:pPr>
        <w:spacing w:before="120" w:after="120"/>
      </w:pP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Grupo</w:t>
            </w:r>
          </w:p>
        </w:tc>
        <w:tc>
          <w:tcPr>
            <w:tcW w:type="dxa" w:w="3135"/>
            <w:shd w:fill="1F3864"/>
          </w:tcPr>
          <w:p>
            <w:pPr>
              <w:jc w:val="center"/>
            </w:pPr>
            <w:r/>
            <w:r>
              <w:rPr>
                <w:rFonts w:ascii="Calibri" w:hAnsi="Calibri"/>
                <w:b/>
                <w:i w:val="0"/>
                <w:color w:val="FFFFFF"/>
                <w:sz w:val="20"/>
              </w:rPr>
              <w:t>Registros</w:t>
            </w:r>
          </w:p>
        </w:tc>
        <w:tc>
          <w:tcPr>
            <w:tcW w:type="dxa" w:w="3135"/>
            <w:shd w:fill="1F3864"/>
          </w:tcPr>
          <w:p>
            <w:pPr>
              <w:jc w:val="center"/>
            </w:pPr>
            <w:r/>
            <w:r>
              <w:rPr>
                <w:rFonts w:ascii="Calibri" w:hAnsi="Calibri"/>
                <w:b/>
                <w:i w:val="0"/>
                <w:color w:val="FFFFFF"/>
                <w:sz w:val="20"/>
              </w:rPr>
              <w:t>Conversión</w:t>
            </w:r>
          </w:p>
        </w:tc>
      </w:tr>
      <w:tr>
        <w:tc>
          <w:tcPr>
            <w:tcW w:type="dxa" w:w="3135"/>
            <w:shd w:fill="F2F2F2"/>
          </w:tcPr>
          <w:p>
            <w:r/>
            <w:r>
              <w:rPr>
                <w:rFonts w:ascii="Calibri" w:hAnsi="Calibri"/>
                <w:b w:val="0"/>
                <w:i w:val="0"/>
                <w:color w:val="404040"/>
                <w:sz w:val="20"/>
              </w:rPr>
              <w:t>0-1 min</w:t>
            </w:r>
          </w:p>
        </w:tc>
        <w:tc>
          <w:tcPr>
            <w:tcW w:type="dxa" w:w="3135"/>
            <w:shd w:fill="F2F2F2"/>
          </w:tcPr>
          <w:p>
            <w:r/>
            <w:r>
              <w:rPr>
                <w:rFonts w:ascii="Calibri" w:hAnsi="Calibri"/>
                <w:b w:val="0"/>
                <w:i w:val="0"/>
                <w:color w:val="404040"/>
                <w:sz w:val="20"/>
              </w:rPr>
              <w:t>4.182</w:t>
            </w:r>
          </w:p>
        </w:tc>
        <w:tc>
          <w:tcPr>
            <w:tcW w:type="dxa" w:w="3135"/>
            <w:shd w:fill="F2F2F2"/>
          </w:tcPr>
          <w:p>
            <w:r/>
            <w:r>
              <w:rPr>
                <w:rFonts w:ascii="Calibri" w:hAnsi="Calibri"/>
                <w:b w:val="0"/>
                <w:i w:val="0"/>
                <w:color w:val="404040"/>
                <w:sz w:val="20"/>
              </w:rPr>
              <w:t>0.02%</w:t>
            </w:r>
          </w:p>
        </w:tc>
      </w:tr>
      <w:tr>
        <w:tc>
          <w:tcPr>
            <w:tcW w:type="dxa" w:w="3135"/>
          </w:tcPr>
          <w:p>
            <w:r/>
            <w:r>
              <w:rPr>
                <w:rFonts w:ascii="Calibri" w:hAnsi="Calibri"/>
                <w:b w:val="0"/>
                <w:i w:val="0"/>
                <w:color w:val="404040"/>
                <w:sz w:val="20"/>
              </w:rPr>
              <w:t>2-3 min</w:t>
            </w:r>
          </w:p>
        </w:tc>
        <w:tc>
          <w:tcPr>
            <w:tcW w:type="dxa" w:w="3135"/>
          </w:tcPr>
          <w:p>
            <w:r/>
            <w:r>
              <w:rPr>
                <w:rFonts w:ascii="Calibri" w:hAnsi="Calibri"/>
                <w:b w:val="0"/>
                <w:i w:val="0"/>
                <w:color w:val="404040"/>
                <w:sz w:val="20"/>
              </w:rPr>
              <w:t>15.981</w:t>
            </w:r>
          </w:p>
        </w:tc>
        <w:tc>
          <w:tcPr>
            <w:tcW w:type="dxa" w:w="3135"/>
          </w:tcPr>
          <w:p>
            <w:r/>
            <w:r>
              <w:rPr>
                <w:rFonts w:ascii="Calibri" w:hAnsi="Calibri"/>
                <w:b w:val="0"/>
                <w:i w:val="0"/>
                <w:color w:val="404040"/>
                <w:sz w:val="20"/>
              </w:rPr>
              <w:t>3.45%</w:t>
            </w:r>
          </w:p>
        </w:tc>
      </w:tr>
      <w:tr>
        <w:tc>
          <w:tcPr>
            <w:tcW w:type="dxa" w:w="3135"/>
            <w:shd w:fill="F2F2F2"/>
          </w:tcPr>
          <w:p>
            <w:r/>
            <w:r>
              <w:rPr>
                <w:rFonts w:ascii="Calibri" w:hAnsi="Calibri"/>
                <w:b w:val="0"/>
                <w:i w:val="0"/>
                <w:color w:val="404040"/>
                <w:sz w:val="20"/>
              </w:rPr>
              <w:t>4-5 min</w:t>
            </w:r>
          </w:p>
        </w:tc>
        <w:tc>
          <w:tcPr>
            <w:tcW w:type="dxa" w:w="3135"/>
            <w:shd w:fill="F2F2F2"/>
          </w:tcPr>
          <w:p>
            <w:r/>
            <w:r>
              <w:rPr>
                <w:rFonts w:ascii="Calibri" w:hAnsi="Calibri"/>
                <w:b w:val="0"/>
                <w:i w:val="0"/>
                <w:color w:val="404040"/>
                <w:sz w:val="20"/>
              </w:rPr>
              <w:t>9.072</w:t>
            </w:r>
          </w:p>
        </w:tc>
        <w:tc>
          <w:tcPr>
            <w:tcW w:type="dxa" w:w="3135"/>
            <w:shd w:fill="F2F2F2"/>
          </w:tcPr>
          <w:p>
            <w:r/>
            <w:r>
              <w:rPr>
                <w:rFonts w:ascii="Calibri" w:hAnsi="Calibri"/>
                <w:b w:val="0"/>
                <w:i w:val="0"/>
                <w:color w:val="404040"/>
                <w:sz w:val="20"/>
              </w:rPr>
              <w:t>10.22%</w:t>
            </w:r>
          </w:p>
        </w:tc>
      </w:tr>
      <w:tr>
        <w:tc>
          <w:tcPr>
            <w:tcW w:type="dxa" w:w="3135"/>
          </w:tcPr>
          <w:p>
            <w:r/>
            <w:r>
              <w:rPr>
                <w:rFonts w:ascii="Calibri" w:hAnsi="Calibri"/>
                <w:b w:val="0"/>
                <w:i w:val="0"/>
                <w:color w:val="404040"/>
                <w:sz w:val="20"/>
              </w:rPr>
              <w:t>6-10 min</w:t>
            </w:r>
          </w:p>
        </w:tc>
        <w:tc>
          <w:tcPr>
            <w:tcW w:type="dxa" w:w="3135"/>
          </w:tcPr>
          <w:p>
            <w:r/>
            <w:r>
              <w:rPr>
                <w:rFonts w:ascii="Calibri" w:hAnsi="Calibri"/>
                <w:b w:val="0"/>
                <w:i w:val="0"/>
                <w:color w:val="404040"/>
                <w:sz w:val="20"/>
              </w:rPr>
              <w:t>7.568</w:t>
            </w:r>
          </w:p>
        </w:tc>
        <w:tc>
          <w:tcPr>
            <w:tcW w:type="dxa" w:w="3135"/>
          </w:tcPr>
          <w:p>
            <w:r/>
            <w:r>
              <w:rPr>
                <w:rFonts w:ascii="Calibri" w:hAnsi="Calibri"/>
                <w:b w:val="0"/>
                <w:i w:val="0"/>
                <w:color w:val="404040"/>
                <w:sz w:val="20"/>
              </w:rPr>
              <w:t>18.66%</w:t>
            </w:r>
          </w:p>
        </w:tc>
      </w:tr>
      <w:tr>
        <w:tc>
          <w:tcPr>
            <w:tcW w:type="dxa" w:w="3135"/>
            <w:shd w:fill="F2F2F2"/>
          </w:tcPr>
          <w:p>
            <w:r/>
            <w:r>
              <w:rPr>
                <w:rFonts w:ascii="Calibri" w:hAnsi="Calibri"/>
                <w:b w:val="0"/>
                <w:i w:val="0"/>
                <w:color w:val="404040"/>
                <w:sz w:val="20"/>
              </w:rPr>
              <w:t>11-20 min</w:t>
            </w:r>
          </w:p>
        </w:tc>
        <w:tc>
          <w:tcPr>
            <w:tcW w:type="dxa" w:w="3135"/>
            <w:shd w:fill="F2F2F2"/>
          </w:tcPr>
          <w:p>
            <w:r/>
            <w:r>
              <w:rPr>
                <w:rFonts w:ascii="Calibri" w:hAnsi="Calibri"/>
                <w:b w:val="0"/>
                <w:i w:val="0"/>
                <w:color w:val="404040"/>
                <w:sz w:val="20"/>
              </w:rPr>
              <w:t>2.885</w:t>
            </w:r>
          </w:p>
        </w:tc>
        <w:tc>
          <w:tcPr>
            <w:tcW w:type="dxa" w:w="3135"/>
            <w:shd w:fill="F2F2F2"/>
          </w:tcPr>
          <w:p>
            <w:r/>
            <w:r>
              <w:rPr>
                <w:rFonts w:ascii="Calibri" w:hAnsi="Calibri"/>
                <w:b w:val="0"/>
                <w:i w:val="0"/>
                <w:color w:val="404040"/>
                <w:sz w:val="20"/>
              </w:rPr>
              <w:t>45.96%</w:t>
            </w:r>
          </w:p>
        </w:tc>
      </w:tr>
      <w:tr>
        <w:tc>
          <w:tcPr>
            <w:tcW w:type="dxa" w:w="3135"/>
          </w:tcPr>
          <w:p>
            <w:r/>
            <w:r>
              <w:rPr>
                <w:rFonts w:ascii="Calibri" w:hAnsi="Calibri"/>
                <w:b w:val="0"/>
                <w:i w:val="0"/>
                <w:color w:val="404040"/>
                <w:sz w:val="20"/>
              </w:rPr>
              <w:t>21+ min</w:t>
            </w:r>
          </w:p>
        </w:tc>
        <w:tc>
          <w:tcPr>
            <w:tcW w:type="dxa" w:w="3135"/>
          </w:tcPr>
          <w:p>
            <w:r/>
            <w:r>
              <w:rPr>
                <w:rFonts w:ascii="Calibri" w:hAnsi="Calibri"/>
                <w:b w:val="0"/>
                <w:i w:val="0"/>
                <w:color w:val="404040"/>
                <w:sz w:val="20"/>
              </w:rPr>
              <w:t>498</w:t>
            </w:r>
          </w:p>
        </w:tc>
        <w:tc>
          <w:tcPr>
            <w:tcW w:type="dxa" w:w="3135"/>
          </w:tcPr>
          <w:p>
            <w:r/>
            <w:r>
              <w:rPr>
                <w:rFonts w:ascii="Calibri" w:hAnsi="Calibri"/>
                <w:b w:val="0"/>
                <w:i w:val="0"/>
                <w:color w:val="404040"/>
                <w:sz w:val="20"/>
              </w:rPr>
              <w:t>63.25%</w:t>
            </w:r>
          </w:p>
        </w:tc>
      </w:tr>
    </w:tbl>
    <w:p>
      <w:pPr>
        <w:spacing w:after="120"/>
      </w:pPr>
      <w:r>
        <w:rPr>
          <w:rFonts w:ascii="Calibri" w:hAnsi="Calibri"/>
          <w:b/>
          <w:i w:val="0"/>
          <w:color w:val="404040"/>
          <w:sz w:val="22"/>
        </w:rPr>
        <w:t>Las llamadas de más de 21 minutos resultan en contratación en 2 de cada 3 casos (63.25%). La relación es proporcional y directa.</w:t>
      </w:r>
    </w:p>
    <w:p>
      <w:pPr>
        <w:pStyle w:val="Heading2"/>
      </w:pPr>
      <w:r>
        <w:rPr>
          <w:rFonts w:ascii="Calibri" w:hAnsi="Calibri"/>
          <w:color w:val="1F3864"/>
        </w:rPr>
        <w:t>7.4 Método de Contacto</w:t>
      </w:r>
    </w:p>
    <w:p>
      <w:pPr>
        <w:spacing w:after="120"/>
      </w:pPr>
      <w:r>
        <w:rPr>
          <w:rFonts w:ascii="Calibri" w:hAnsi="Calibri"/>
          <w:b w:val="0"/>
          <w:i w:val="0"/>
          <w:color w:val="404040"/>
          <w:sz w:val="22"/>
        </w:rPr>
        <w:t>Crosstab normalizado (celda 38):</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Método</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Factor</w:t>
            </w:r>
          </w:p>
        </w:tc>
      </w:tr>
      <w:tr>
        <w:tc>
          <w:tcPr>
            <w:tcW w:type="dxa" w:w="2351"/>
            <w:shd w:fill="F2F2F2"/>
          </w:tcPr>
          <w:p>
            <w:r/>
            <w:r>
              <w:rPr>
                <w:rFonts w:ascii="Calibri" w:hAnsi="Calibri"/>
                <w:b w:val="0"/>
                <w:i w:val="0"/>
                <w:color w:val="404040"/>
                <w:sz w:val="20"/>
              </w:rPr>
              <w:t>Celular</w:t>
            </w:r>
          </w:p>
        </w:tc>
        <w:tc>
          <w:tcPr>
            <w:tcW w:type="dxa" w:w="2351"/>
            <w:shd w:fill="F2F2F2"/>
          </w:tcPr>
          <w:p>
            <w:r/>
            <w:r>
              <w:rPr>
                <w:rFonts w:ascii="Calibri" w:hAnsi="Calibri"/>
                <w:b w:val="0"/>
                <w:i w:val="0"/>
                <w:color w:val="404040"/>
                <w:sz w:val="20"/>
              </w:rPr>
              <w:t>25.574</w:t>
            </w:r>
          </w:p>
        </w:tc>
        <w:tc>
          <w:tcPr>
            <w:tcW w:type="dxa" w:w="2351"/>
            <w:shd w:fill="F2F2F2"/>
          </w:tcPr>
          <w:p>
            <w:r/>
            <w:r>
              <w:rPr>
                <w:rFonts w:ascii="Calibri" w:hAnsi="Calibri"/>
                <w:b w:val="0"/>
                <w:i w:val="0"/>
                <w:color w:val="404040"/>
                <w:sz w:val="20"/>
              </w:rPr>
              <w:t>14.70%</w:t>
            </w:r>
          </w:p>
        </w:tc>
        <w:tc>
          <w:tcPr>
            <w:tcW w:type="dxa" w:w="2351"/>
            <w:shd w:fill="F2F2F2"/>
          </w:tcPr>
          <w:p>
            <w:r/>
            <w:r>
              <w:rPr>
                <w:rFonts w:ascii="Calibri" w:hAnsi="Calibri"/>
                <w:b w:val="0"/>
                <w:i w:val="0"/>
                <w:color w:val="404040"/>
                <w:sz w:val="20"/>
              </w:rPr>
              <w:t>Referencia</w:t>
            </w:r>
          </w:p>
        </w:tc>
      </w:tr>
      <w:tr>
        <w:tc>
          <w:tcPr>
            <w:tcW w:type="dxa" w:w="2351"/>
          </w:tcPr>
          <w:p>
            <w:r/>
            <w:r>
              <w:rPr>
                <w:rFonts w:ascii="Calibri" w:hAnsi="Calibri"/>
                <w:b w:val="0"/>
                <w:i w:val="0"/>
                <w:color w:val="404040"/>
                <w:sz w:val="20"/>
              </w:rPr>
              <w:t>Teléfono fijo</w:t>
            </w:r>
          </w:p>
        </w:tc>
        <w:tc>
          <w:tcPr>
            <w:tcW w:type="dxa" w:w="2351"/>
          </w:tcPr>
          <w:p>
            <w:r/>
            <w:r>
              <w:rPr>
                <w:rFonts w:ascii="Calibri" w:hAnsi="Calibri"/>
                <w:b w:val="0"/>
                <w:i w:val="0"/>
                <w:color w:val="404040"/>
                <w:sz w:val="20"/>
              </w:rPr>
              <w:t>14.612</w:t>
            </w:r>
          </w:p>
        </w:tc>
        <w:tc>
          <w:tcPr>
            <w:tcW w:type="dxa" w:w="2351"/>
          </w:tcPr>
          <w:p>
            <w:r/>
            <w:r>
              <w:rPr>
                <w:rFonts w:ascii="Calibri" w:hAnsi="Calibri"/>
                <w:b w:val="0"/>
                <w:i w:val="0"/>
                <w:color w:val="404040"/>
                <w:sz w:val="20"/>
              </w:rPr>
              <w:t>5.28%</w:t>
            </w:r>
          </w:p>
        </w:tc>
        <w:tc>
          <w:tcPr>
            <w:tcW w:type="dxa" w:w="2351"/>
          </w:tcPr>
          <w:p>
            <w:r/>
            <w:r>
              <w:rPr>
                <w:rFonts w:ascii="Calibri" w:hAnsi="Calibri"/>
                <w:b w:val="0"/>
                <w:i w:val="0"/>
                <w:color w:val="404040"/>
                <w:sz w:val="20"/>
              </w:rPr>
              <w:t>2.8× peor</w:t>
            </w:r>
          </w:p>
        </w:tc>
      </w:tr>
    </w:tbl>
    <w:p>
      <w:pPr>
        <w:spacing w:after="120"/>
      </w:pPr>
      <w:r>
        <w:rPr>
          <w:rFonts w:ascii="Calibri" w:hAnsi="Calibri"/>
          <w:b w:val="0"/>
          <w:i w:val="0"/>
          <w:color w:val="404040"/>
          <w:sz w:val="22"/>
        </w:rPr>
        <w:t>El celular convierte 2.8 veces más que el teléfono fijo.</w:t>
      </w:r>
    </w:p>
    <w:p>
      <w:pPr>
        <w:pStyle w:val="Heading2"/>
      </w:pPr>
      <w:r>
        <w:rPr>
          <w:rFonts w:ascii="Calibri" w:hAnsi="Calibri"/>
          <w:color w:val="1F3864"/>
        </w:rPr>
        <w:t>7.5 Historial de Campañas Anteriores</w:t>
      </w:r>
    </w:p>
    <w:p>
      <w:pPr>
        <w:spacing w:after="120"/>
      </w:pPr>
      <w:r>
        <w:rPr>
          <w:rFonts w:ascii="Calibri" w:hAnsi="Calibri"/>
          <w:b w:val="0"/>
          <w:i w:val="0"/>
          <w:color w:val="404040"/>
          <w:sz w:val="22"/>
        </w:rPr>
        <w:t>Barplot de success_rate por previous_campaign_outcome (celda 20):</w:t>
      </w:r>
    </w:p>
    <w:p>
      <w:pPr>
        <w:jc w:val="center"/>
      </w:pPr>
      <w:r>
        <w:drawing>
          <wp:inline xmlns:a="http://schemas.openxmlformats.org/drawingml/2006/main" xmlns:pic="http://schemas.openxmlformats.org/drawingml/2006/picture">
            <wp:extent cx="5486400" cy="3607877"/>
            <wp:docPr id="5" name="Picture 5"/>
            <wp:cNvGraphicFramePr>
              <a:graphicFrameLocks noChangeAspect="1"/>
            </wp:cNvGraphicFramePr>
            <a:graphic>
              <a:graphicData uri="http://schemas.openxmlformats.org/drawingml/2006/picture">
                <pic:pic>
                  <pic:nvPicPr>
                    <pic:cNvPr id="0" name="fig10_conversion_poutcome.png"/>
                    <pic:cNvPicPr/>
                  </pic:nvPicPr>
                  <pic:blipFill>
                    <a:blip r:embed="rId13"/>
                    <a:stretch>
                      <a:fillRect/>
                    </a:stretch>
                  </pic:blipFill>
                  <pic:spPr>
                    <a:xfrm>
                      <a:off x="0" y="0"/>
                      <a:ext cx="5486400" cy="3607877"/>
                    </a:xfrm>
                    <a:prstGeom prst="rect"/>
                  </pic:spPr>
                </pic:pic>
              </a:graphicData>
            </a:graphic>
          </wp:inline>
        </w:drawing>
      </w:r>
    </w:p>
    <w:p>
      <w:pPr>
        <w:jc w:val="center"/>
      </w:pPr>
      <w:r>
        <w:rPr>
          <w:rFonts w:ascii="Calibri" w:hAnsi="Calibri"/>
          <w:i/>
          <w:color w:val="808080"/>
          <w:sz w:val="18"/>
        </w:rPr>
        <w:t>Figura 13. Tasa de conversión por resultado de la campaña anterior — el mejor predictor del dataset. poutcome=success alcanza 64.91% de conversión (7× más que clientes nuevos). Generado en la celda 20 del notebook.</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Resultado Previo</w:t>
            </w:r>
          </w:p>
        </w:tc>
        <w:tc>
          <w:tcPr>
            <w:tcW w:type="dxa" w:w="2351"/>
            <w:shd w:fill="1F3864"/>
          </w:tcPr>
          <w:p>
            <w:pPr>
              <w:jc w:val="center"/>
            </w:pPr>
            <w:r/>
            <w:r>
              <w:rPr>
                <w:rFonts w:ascii="Calibri" w:hAnsi="Calibri"/>
                <w:b/>
                <w:i w:val="0"/>
                <w:color w:val="FFFFFF"/>
                <w:sz w:val="20"/>
              </w:rPr>
              <w:t>Registros</w:t>
            </w:r>
          </w:p>
        </w:tc>
        <w:tc>
          <w:tcPr>
            <w:tcW w:type="dxa" w:w="2351"/>
            <w:shd w:fill="1F3864"/>
          </w:tcPr>
          <w:p>
            <w:pPr>
              <w:jc w:val="center"/>
            </w:pPr>
            <w:r/>
            <w:r>
              <w:rPr>
                <w:rFonts w:ascii="Calibri" w:hAnsi="Calibri"/>
                <w:b/>
                <w:i w:val="0"/>
                <w:color w:val="FFFFFF"/>
                <w:sz w:val="20"/>
              </w:rPr>
              <w:t>Conversión</w:t>
            </w:r>
          </w:p>
        </w:tc>
        <w:tc>
          <w:tcPr>
            <w:tcW w:type="dxa" w:w="2351"/>
            <w:shd w:fill="1F3864"/>
          </w:tcPr>
          <w:p>
            <w:pPr>
              <w:jc w:val="center"/>
            </w:pPr>
            <w:r/>
            <w:r>
              <w:rPr>
                <w:rFonts w:ascii="Calibri" w:hAnsi="Calibri"/>
                <w:b/>
                <w:i w:val="0"/>
                <w:color w:val="FFFFFF"/>
                <w:sz w:val="20"/>
              </w:rPr>
              <w:t>Observación</w:t>
            </w:r>
          </w:p>
        </w:tc>
      </w:tr>
      <w:tr>
        <w:tc>
          <w:tcPr>
            <w:tcW w:type="dxa" w:w="2351"/>
            <w:shd w:fill="F2F2F2"/>
          </w:tcPr>
          <w:p>
            <w:r/>
            <w:r>
              <w:rPr>
                <w:rFonts w:ascii="Calibri" w:hAnsi="Calibri"/>
                <w:b w:val="0"/>
                <w:i w:val="0"/>
                <w:color w:val="404040"/>
                <w:sz w:val="20"/>
              </w:rPr>
              <w:t>success</w:t>
            </w:r>
          </w:p>
        </w:tc>
        <w:tc>
          <w:tcPr>
            <w:tcW w:type="dxa" w:w="2351"/>
            <w:shd w:fill="F2F2F2"/>
          </w:tcPr>
          <w:p>
            <w:r/>
            <w:r>
              <w:rPr>
                <w:rFonts w:ascii="Calibri" w:hAnsi="Calibri"/>
                <w:b w:val="0"/>
                <w:i w:val="0"/>
                <w:color w:val="404040"/>
                <w:sz w:val="20"/>
              </w:rPr>
              <w:t>1.345</w:t>
            </w:r>
          </w:p>
        </w:tc>
        <w:tc>
          <w:tcPr>
            <w:tcW w:type="dxa" w:w="2351"/>
            <w:shd w:fill="F2F2F2"/>
          </w:tcPr>
          <w:p>
            <w:r/>
            <w:r>
              <w:rPr>
                <w:rFonts w:ascii="Calibri" w:hAnsi="Calibri"/>
                <w:b w:val="0"/>
                <w:i w:val="0"/>
                <w:color w:val="404040"/>
                <w:sz w:val="20"/>
              </w:rPr>
              <w:t>64.91%</w:t>
            </w:r>
          </w:p>
        </w:tc>
        <w:tc>
          <w:tcPr>
            <w:tcW w:type="dxa" w:w="2351"/>
            <w:shd w:fill="F2F2F2"/>
          </w:tcPr>
          <w:p>
            <w:r/>
            <w:r>
              <w:rPr>
                <w:rFonts w:ascii="Calibri" w:hAnsi="Calibri"/>
                <w:b w:val="0"/>
                <w:i w:val="0"/>
                <w:color w:val="404040"/>
                <w:sz w:val="20"/>
              </w:rPr>
              <w:t>★ MEJOR PREDICTOR DEL DATASET</w:t>
            </w:r>
          </w:p>
        </w:tc>
      </w:tr>
      <w:tr>
        <w:tc>
          <w:tcPr>
            <w:tcW w:type="dxa" w:w="2351"/>
          </w:tcPr>
          <w:p>
            <w:r/>
            <w:r>
              <w:rPr>
                <w:rFonts w:ascii="Calibri" w:hAnsi="Calibri"/>
                <w:b w:val="0"/>
                <w:i w:val="0"/>
                <w:color w:val="404040"/>
                <w:sz w:val="20"/>
              </w:rPr>
              <w:t>failure</w:t>
            </w:r>
          </w:p>
        </w:tc>
        <w:tc>
          <w:tcPr>
            <w:tcW w:type="dxa" w:w="2351"/>
          </w:tcPr>
          <w:p>
            <w:r/>
            <w:r>
              <w:rPr>
                <w:rFonts w:ascii="Calibri" w:hAnsi="Calibri"/>
                <w:b w:val="0"/>
                <w:i w:val="0"/>
                <w:color w:val="404040"/>
                <w:sz w:val="20"/>
              </w:rPr>
              <w:t>4.141</w:t>
            </w:r>
          </w:p>
        </w:tc>
        <w:tc>
          <w:tcPr>
            <w:tcW w:type="dxa" w:w="2351"/>
          </w:tcPr>
          <w:p>
            <w:r/>
            <w:r>
              <w:rPr>
                <w:rFonts w:ascii="Calibri" w:hAnsi="Calibri"/>
                <w:b w:val="0"/>
                <w:i w:val="0"/>
                <w:color w:val="404040"/>
                <w:sz w:val="20"/>
              </w:rPr>
              <w:t>14.05%</w:t>
            </w:r>
          </w:p>
        </w:tc>
        <w:tc>
          <w:tcPr>
            <w:tcW w:type="dxa" w:w="2351"/>
          </w:tcPr>
          <w:p>
            <w:r/>
            <w:r>
              <w:rPr>
                <w:rFonts w:ascii="Calibri" w:hAnsi="Calibri"/>
                <w:b w:val="0"/>
                <w:i w:val="0"/>
                <w:color w:val="404040"/>
                <w:sz w:val="20"/>
              </w:rPr>
              <w:t>Por encima de la media</w:t>
            </w:r>
          </w:p>
        </w:tc>
      </w:tr>
      <w:tr>
        <w:tc>
          <w:tcPr>
            <w:tcW w:type="dxa" w:w="2351"/>
            <w:shd w:fill="F2F2F2"/>
          </w:tcPr>
          <w:p>
            <w:r/>
            <w:r>
              <w:rPr>
                <w:rFonts w:ascii="Calibri" w:hAnsi="Calibri"/>
                <w:b w:val="0"/>
                <w:i w:val="0"/>
                <w:color w:val="404040"/>
                <w:sz w:val="20"/>
              </w:rPr>
              <w:t>nonexistent</w:t>
            </w:r>
          </w:p>
        </w:tc>
        <w:tc>
          <w:tcPr>
            <w:tcW w:type="dxa" w:w="2351"/>
            <w:shd w:fill="F2F2F2"/>
          </w:tcPr>
          <w:p>
            <w:r/>
            <w:r>
              <w:rPr>
                <w:rFonts w:ascii="Calibri" w:hAnsi="Calibri"/>
                <w:b w:val="0"/>
                <w:i w:val="0"/>
                <w:color w:val="404040"/>
                <w:sz w:val="20"/>
              </w:rPr>
              <w:t>34.700</w:t>
            </w:r>
          </w:p>
        </w:tc>
        <w:tc>
          <w:tcPr>
            <w:tcW w:type="dxa" w:w="2351"/>
            <w:shd w:fill="F2F2F2"/>
          </w:tcPr>
          <w:p>
            <w:r/>
            <w:r>
              <w:rPr>
                <w:rFonts w:ascii="Calibri" w:hAnsi="Calibri"/>
                <w:b w:val="0"/>
                <w:i w:val="0"/>
                <w:color w:val="404040"/>
                <w:sz w:val="20"/>
              </w:rPr>
              <w:t>8.87%</w:t>
            </w:r>
          </w:p>
        </w:tc>
        <w:tc>
          <w:tcPr>
            <w:tcW w:type="dxa" w:w="2351"/>
            <w:shd w:fill="F2F2F2"/>
          </w:tcPr>
          <w:p>
            <w:r/>
            <w:r>
              <w:rPr>
                <w:rFonts w:ascii="Calibri" w:hAnsi="Calibri"/>
                <w:b w:val="0"/>
                <w:i w:val="0"/>
                <w:color w:val="404040"/>
                <w:sz w:val="20"/>
              </w:rPr>
              <w:t>No hubo campaña previa</w:t>
            </w:r>
          </w:p>
        </w:tc>
      </w:tr>
    </w:tbl>
    <w:p>
      <w:pPr>
        <w:spacing w:after="120"/>
      </w:pPr>
      <w:r>
        <w:rPr>
          <w:rFonts w:ascii="Calibri" w:hAnsi="Calibri"/>
          <w:b w:val="0"/>
          <w:i w:val="0"/>
          <w:color w:val="404040"/>
          <w:sz w:val="22"/>
        </w:rPr>
      </w:r>
    </w:p>
    <w:p>
      <w:pPr>
        <w:spacing w:after="120"/>
      </w:pPr>
      <w:r>
        <w:rPr>
          <w:rFonts w:ascii="Calibri" w:hAnsi="Calibri"/>
          <w:b w:val="0"/>
          <w:i w:val="0"/>
          <w:color w:val="404040"/>
          <w:sz w:val="22"/>
        </w:rPr>
        <w:t>Barplots complementarios (celdas 22, 23 y 24):</w:t>
      </w:r>
    </w:p>
    <w:tbl>
      <w:tblPr>
        <w:tblStyle w:val="TableGrid"/>
        <w:tblW w:type="auto" w:w="0"/>
        <w:jc w:val="center"/>
        <w:tblLook w:firstColumn="1" w:firstRow="1" w:lastColumn="0" w:lastRow="0" w:noHBand="0" w:noVBand="1" w:val="04A0"/>
      </w:tblPr>
      <w:tblGrid>
        <w:gridCol w:w="3135"/>
        <w:gridCol w:w="3135"/>
        <w:gridCol w:w="3135"/>
      </w:tblGrid>
      <w:tr>
        <w:tc>
          <w:tcPr>
            <w:tcW w:type="dxa" w:w="3135"/>
            <w:shd w:fill="1F3864"/>
          </w:tcPr>
          <w:p>
            <w:pPr>
              <w:jc w:val="center"/>
            </w:pPr>
            <w:r/>
            <w:r>
              <w:rPr>
                <w:rFonts w:ascii="Calibri" w:hAnsi="Calibri"/>
                <w:b/>
                <w:i w:val="0"/>
                <w:color w:val="FFFFFF"/>
                <w:sz w:val="20"/>
              </w:rPr>
              <w:t>Variable</w:t>
            </w:r>
          </w:p>
        </w:tc>
        <w:tc>
          <w:tcPr>
            <w:tcW w:type="dxa" w:w="3135"/>
            <w:shd w:fill="1F3864"/>
          </w:tcPr>
          <w:p>
            <w:pPr>
              <w:jc w:val="center"/>
            </w:pPr>
            <w:r/>
            <w:r>
              <w:rPr>
                <w:rFonts w:ascii="Calibri" w:hAnsi="Calibri"/>
                <w:b/>
                <w:i w:val="0"/>
                <w:color w:val="FFFFFF"/>
                <w:sz w:val="20"/>
              </w:rPr>
              <w:t>Valor</w:t>
            </w:r>
          </w:p>
        </w:tc>
        <w:tc>
          <w:tcPr>
            <w:tcW w:type="dxa" w:w="3135"/>
            <w:shd w:fill="1F3864"/>
          </w:tcPr>
          <w:p>
            <w:pPr>
              <w:jc w:val="center"/>
            </w:pPr>
            <w:r/>
            <w:r>
              <w:rPr>
                <w:rFonts w:ascii="Calibri" w:hAnsi="Calibri"/>
                <w:b/>
                <w:i w:val="0"/>
                <w:color w:val="FFFFFF"/>
                <w:sz w:val="20"/>
              </w:rPr>
              <w:t>Conversión</w:t>
            </w:r>
          </w:p>
        </w:tc>
      </w:tr>
      <w:tr>
        <w:tc>
          <w:tcPr>
            <w:tcW w:type="dxa" w:w="3135"/>
            <w:shd w:fill="F2F2F2"/>
          </w:tcPr>
          <w:p>
            <w:r/>
            <w:r>
              <w:rPr>
                <w:rFonts w:ascii="Calibri" w:hAnsi="Calibri"/>
                <w:b w:val="0"/>
                <w:i w:val="0"/>
                <w:color w:val="404040"/>
                <w:sz w:val="20"/>
              </w:rPr>
              <w:t>is_new_campaign_client</w:t>
            </w:r>
          </w:p>
        </w:tc>
        <w:tc>
          <w:tcPr>
            <w:tcW w:type="dxa" w:w="3135"/>
            <w:shd w:fill="F2F2F2"/>
          </w:tcPr>
          <w:p>
            <w:r/>
            <w:r>
              <w:rPr>
                <w:rFonts w:ascii="Calibri" w:hAnsi="Calibri"/>
                <w:b w:val="0"/>
                <w:i w:val="0"/>
                <w:color w:val="404040"/>
                <w:sz w:val="20"/>
              </w:rPr>
              <w:t>no (recurrente)</w:t>
            </w:r>
          </w:p>
        </w:tc>
        <w:tc>
          <w:tcPr>
            <w:tcW w:type="dxa" w:w="3135"/>
            <w:shd w:fill="F2F2F2"/>
          </w:tcPr>
          <w:p>
            <w:r/>
            <w:r>
              <w:rPr>
                <w:rFonts w:ascii="Calibri" w:hAnsi="Calibri"/>
                <w:b w:val="0"/>
                <w:i w:val="0"/>
                <w:color w:val="404040"/>
                <w:sz w:val="20"/>
              </w:rPr>
              <w:t>26.52%</w:t>
            </w:r>
          </w:p>
        </w:tc>
      </w:tr>
      <w:tr>
        <w:tc>
          <w:tcPr>
            <w:tcW w:type="dxa" w:w="3135"/>
          </w:tcPr>
          <w:p>
            <w:r/>
            <w:r>
              <w:rPr>
                <w:rFonts w:ascii="Calibri" w:hAnsi="Calibri"/>
                <w:b w:val="0"/>
                <w:i w:val="0"/>
                <w:color w:val="404040"/>
                <w:sz w:val="20"/>
              </w:rPr>
              <w:t>is_new_campaign_client</w:t>
            </w:r>
          </w:p>
        </w:tc>
        <w:tc>
          <w:tcPr>
            <w:tcW w:type="dxa" w:w="3135"/>
          </w:tcPr>
          <w:p>
            <w:r/>
            <w:r>
              <w:rPr>
                <w:rFonts w:ascii="Calibri" w:hAnsi="Calibri"/>
                <w:b w:val="0"/>
                <w:i w:val="0"/>
                <w:color w:val="404040"/>
                <w:sz w:val="20"/>
              </w:rPr>
              <w:t>yes (nuevo)</w:t>
            </w:r>
          </w:p>
        </w:tc>
        <w:tc>
          <w:tcPr>
            <w:tcW w:type="dxa" w:w="3135"/>
          </w:tcPr>
          <w:p>
            <w:r/>
            <w:r>
              <w:rPr>
                <w:rFonts w:ascii="Calibri" w:hAnsi="Calibri"/>
                <w:b w:val="0"/>
                <w:i w:val="0"/>
                <w:color w:val="404040"/>
                <w:sz w:val="20"/>
              </w:rPr>
              <w:t>8.87%</w:t>
            </w:r>
          </w:p>
        </w:tc>
      </w:tr>
    </w:tbl>
    <w:p>
      <w:pPr>
        <w:spacing w:after="120"/>
      </w:pPr>
      <w:r>
        <w:rPr>
          <w:rFonts w:ascii="Calibri" w:hAnsi="Calibri"/>
          <w:b/>
          <w:i w:val="0"/>
          <w:color w:val="404040"/>
          <w:sz w:val="22"/>
        </w:rPr>
        <w:t>Hallazgo fundamental: Los clientes con resultado exitoso en una campaña anterior tienen 64.91% de conversión. Los clientes recurrentes (no nuevos) convierten 3× más que los nuevos (26.52% vs 8.87%). La experiencia previa positiva es el factor más determinante del dataset.</w:t>
      </w:r>
    </w:p>
    <w:p>
      <w:pPr>
        <w:jc w:val="center"/>
      </w:pPr>
      <w:r>
        <w:drawing>
          <wp:inline xmlns:a="http://schemas.openxmlformats.org/drawingml/2006/main" xmlns:pic="http://schemas.openxmlformats.org/drawingml/2006/picture">
            <wp:extent cx="5486400" cy="4273903"/>
            <wp:docPr id="4" name="Picture 4"/>
            <wp:cNvGraphicFramePr>
              <a:graphicFrameLocks noChangeAspect="1"/>
            </wp:cNvGraphicFramePr>
            <a:graphic>
              <a:graphicData uri="http://schemas.openxmlformats.org/drawingml/2006/picture">
                <pic:pic>
                  <pic:nvPicPr>
                    <pic:cNvPr id="0" name="fig12_conversion_new_vs_recurrente.png"/>
                    <pic:cNvPicPr/>
                  </pic:nvPicPr>
                  <pic:blipFill>
                    <a:blip r:embed="rId12"/>
                    <a:stretch>
                      <a:fillRect/>
                    </a:stretch>
                  </pic:blipFill>
                  <pic:spPr>
                    <a:xfrm>
                      <a:off x="0" y="0"/>
                      <a:ext cx="5486400" cy="4273903"/>
                    </a:xfrm>
                    <a:prstGeom prst="rect"/>
                  </pic:spPr>
                </pic:pic>
              </a:graphicData>
            </a:graphic>
          </wp:inline>
        </w:drawing>
      </w:r>
    </w:p>
    <w:p>
      <w:pPr>
        <w:jc w:val="center"/>
      </w:pPr>
      <w:r>
        <w:rPr>
          <w:rFonts w:ascii="Calibri" w:hAnsi="Calibri"/>
          <w:i/>
          <w:color w:val="808080"/>
          <w:sz w:val="18"/>
        </w:rPr>
        <w:t>Figura 14. Comparación directa: clientes recurrentes (con contacto previo) convierten 3× más que los nuevos (26.52% vs 8.87%). Generado en la celda 23 del notebook.</w:t>
      </w:r>
    </w:p>
    <w:p>
      <w:pPr>
        <w:spacing w:before="120" w:after="120"/>
      </w:pPr>
    </w:p>
    <w:p>
      <w:pPr>
        <w:pStyle w:val="Heading2"/>
      </w:pPr>
      <w:r>
        <w:rPr>
          <w:rFonts w:ascii="Calibri" w:hAnsi="Calibri"/>
          <w:color w:val="1F3864"/>
        </w:rPr>
        <w:t>7.6 Variables Macroeconómicas</w:t>
      </w:r>
    </w:p>
    <w:p>
      <w:pPr>
        <w:spacing w:after="120"/>
      </w:pPr>
      <w:r>
        <w:rPr>
          <w:rFonts w:ascii="Calibri" w:hAnsi="Calibri"/>
          <w:b w:val="0"/>
          <w:i w:val="0"/>
          <w:color w:val="404040"/>
          <w:sz w:val="22"/>
        </w:rPr>
        <w:t>Se generaron violin plots con cuartiles integrados (inner="quartile", celda 31) para las 5 variables macroeconómicas vs subscribed:</w:t>
      </w:r>
    </w:p>
    <w:p>
      <w:pPr>
        <w:jc w:val="center"/>
      </w:pPr>
      <w:r>
        <w:drawing>
          <wp:inline xmlns:a="http://schemas.openxmlformats.org/drawingml/2006/main" xmlns:pic="http://schemas.openxmlformats.org/drawingml/2006/picture">
            <wp:extent cx="5486400" cy="3142248"/>
            <wp:docPr id="3" name="Picture 3"/>
            <wp:cNvGraphicFramePr>
              <a:graphicFrameLocks noChangeAspect="1"/>
            </wp:cNvGraphicFramePr>
            <a:graphic>
              <a:graphicData uri="http://schemas.openxmlformats.org/drawingml/2006/picture">
                <pic:pic>
                  <pic:nvPicPr>
                    <pic:cNvPr id="0" name="fig13_violin_macroeconomicas.png"/>
                    <pic:cNvPicPr/>
                  </pic:nvPicPr>
                  <pic:blipFill>
                    <a:blip r:embed="rId11"/>
                    <a:stretch>
                      <a:fillRect/>
                    </a:stretch>
                  </pic:blipFill>
                  <pic:spPr>
                    <a:xfrm>
                      <a:off x="0" y="0"/>
                      <a:ext cx="5486400" cy="3142248"/>
                    </a:xfrm>
                    <a:prstGeom prst="rect"/>
                  </pic:spPr>
                </pic:pic>
              </a:graphicData>
            </a:graphic>
          </wp:inline>
        </w:drawing>
      </w:r>
    </w:p>
    <w:p>
      <w:pPr>
        <w:jc w:val="center"/>
      </w:pPr>
      <w:r>
        <w:rPr>
          <w:rFonts w:ascii="Calibri" w:hAnsi="Calibri"/>
          <w:i/>
          <w:color w:val="808080"/>
          <w:sz w:val="18"/>
        </w:rPr>
        <w:t>Figura 15. Violin plots de las 5 variables macroeconómicas vs suscripción, con cuartiles integrados (inner="quartile"). Los suscriptores se concentran en periodos de euribor bajo y empleo en descenso. Generados en la celda 31 del notebook.</w:t>
      </w:r>
    </w:p>
    <w:p>
      <w:pPr>
        <w:spacing w:before="120" w:after="120"/>
      </w:pP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Variable</w:t>
            </w:r>
          </w:p>
        </w:tc>
        <w:tc>
          <w:tcPr>
            <w:tcW w:type="dxa" w:w="2351"/>
            <w:shd w:fill="1F3864"/>
          </w:tcPr>
          <w:p>
            <w:pPr>
              <w:jc w:val="center"/>
            </w:pPr>
            <w:r/>
            <w:r>
              <w:rPr>
                <w:rFonts w:ascii="Calibri" w:hAnsi="Calibri"/>
                <w:b/>
                <w:i w:val="0"/>
                <w:color w:val="FFFFFF"/>
                <w:sz w:val="20"/>
              </w:rPr>
              <w:t>Media (yes)</w:t>
            </w:r>
          </w:p>
        </w:tc>
        <w:tc>
          <w:tcPr>
            <w:tcW w:type="dxa" w:w="2351"/>
            <w:shd w:fill="1F3864"/>
          </w:tcPr>
          <w:p>
            <w:pPr>
              <w:jc w:val="center"/>
            </w:pPr>
            <w:r/>
            <w:r>
              <w:rPr>
                <w:rFonts w:ascii="Calibri" w:hAnsi="Calibri"/>
                <w:b/>
                <w:i w:val="0"/>
                <w:color w:val="FFFFFF"/>
                <w:sz w:val="20"/>
              </w:rPr>
              <w:t>Media (no)</w:t>
            </w:r>
          </w:p>
        </w:tc>
        <w:tc>
          <w:tcPr>
            <w:tcW w:type="dxa" w:w="2351"/>
            <w:shd w:fill="1F3864"/>
          </w:tcPr>
          <w:p>
            <w:pPr>
              <w:jc w:val="center"/>
            </w:pPr>
            <w:r/>
            <w:r>
              <w:rPr>
                <w:rFonts w:ascii="Calibri" w:hAnsi="Calibri"/>
                <w:b/>
                <w:i w:val="0"/>
                <w:color w:val="FFFFFF"/>
                <w:sz w:val="20"/>
              </w:rPr>
              <w:t>Interpretación</w:t>
            </w:r>
          </w:p>
        </w:tc>
      </w:tr>
      <w:tr>
        <w:tc>
          <w:tcPr>
            <w:tcW w:type="dxa" w:w="2351"/>
            <w:shd w:fill="F2F2F2"/>
          </w:tcPr>
          <w:p>
            <w:r/>
            <w:r>
              <w:rPr>
                <w:rFonts w:ascii="Calibri" w:hAnsi="Calibri"/>
                <w:b w:val="0"/>
                <w:i w:val="0"/>
                <w:color w:val="404040"/>
                <w:sz w:val="20"/>
              </w:rPr>
              <w:t>employment_variation_rate</w:t>
            </w:r>
          </w:p>
        </w:tc>
        <w:tc>
          <w:tcPr>
            <w:tcW w:type="dxa" w:w="2351"/>
            <w:shd w:fill="F2F2F2"/>
          </w:tcPr>
          <w:p>
            <w:r/>
            <w:r>
              <w:rPr>
                <w:rFonts w:ascii="Calibri" w:hAnsi="Calibri"/>
                <w:b w:val="0"/>
                <w:i w:val="0"/>
                <w:color w:val="404040"/>
                <w:sz w:val="20"/>
              </w:rPr>
              <w:t>-1.23</w:t>
            </w:r>
          </w:p>
        </w:tc>
        <w:tc>
          <w:tcPr>
            <w:tcW w:type="dxa" w:w="2351"/>
            <w:shd w:fill="F2F2F2"/>
          </w:tcPr>
          <w:p>
            <w:r/>
            <w:r>
              <w:rPr>
                <w:rFonts w:ascii="Calibri" w:hAnsi="Calibri"/>
                <w:b w:val="0"/>
                <w:i w:val="0"/>
                <w:color w:val="404040"/>
                <w:sz w:val="20"/>
              </w:rPr>
              <w:t>+0.25</w:t>
            </w:r>
          </w:p>
        </w:tc>
        <w:tc>
          <w:tcPr>
            <w:tcW w:type="dxa" w:w="2351"/>
            <w:shd w:fill="F2F2F2"/>
          </w:tcPr>
          <w:p>
            <w:r/>
            <w:r>
              <w:rPr>
                <w:rFonts w:ascii="Calibri" w:hAnsi="Calibri"/>
                <w:b w:val="0"/>
                <w:i w:val="0"/>
                <w:color w:val="404040"/>
                <w:sz w:val="20"/>
              </w:rPr>
              <w:t>Suscripciones ↑ cuando empleo ↓</w:t>
            </w:r>
          </w:p>
        </w:tc>
      </w:tr>
      <w:tr>
        <w:tc>
          <w:tcPr>
            <w:tcW w:type="dxa" w:w="2351"/>
          </w:tcPr>
          <w:p>
            <w:r/>
            <w:r>
              <w:rPr>
                <w:rFonts w:ascii="Calibri" w:hAnsi="Calibri"/>
                <w:b w:val="0"/>
                <w:i w:val="0"/>
                <w:color w:val="404040"/>
                <w:sz w:val="20"/>
              </w:rPr>
              <w:t>consumer_price_index</w:t>
            </w:r>
          </w:p>
        </w:tc>
        <w:tc>
          <w:tcPr>
            <w:tcW w:type="dxa" w:w="2351"/>
          </w:tcPr>
          <w:p>
            <w:r/>
            <w:r>
              <w:rPr>
                <w:rFonts w:ascii="Calibri" w:hAnsi="Calibri"/>
                <w:b w:val="0"/>
                <w:i w:val="0"/>
                <w:color w:val="404040"/>
                <w:sz w:val="20"/>
              </w:rPr>
              <w:t>93.35</w:t>
            </w:r>
          </w:p>
        </w:tc>
        <w:tc>
          <w:tcPr>
            <w:tcW w:type="dxa" w:w="2351"/>
          </w:tcPr>
          <w:p>
            <w:r/>
            <w:r>
              <w:rPr>
                <w:rFonts w:ascii="Calibri" w:hAnsi="Calibri"/>
                <w:b w:val="0"/>
                <w:i w:val="0"/>
                <w:color w:val="404040"/>
                <w:sz w:val="20"/>
              </w:rPr>
              <w:t>93.60</w:t>
            </w:r>
          </w:p>
        </w:tc>
        <w:tc>
          <w:tcPr>
            <w:tcW w:type="dxa" w:w="2351"/>
          </w:tcPr>
          <w:p>
            <w:r/>
            <w:r>
              <w:rPr>
                <w:rFonts w:ascii="Calibri" w:hAnsi="Calibri"/>
                <w:b w:val="0"/>
                <w:i w:val="0"/>
                <w:color w:val="404040"/>
                <w:sz w:val="20"/>
              </w:rPr>
              <w:t>Efecto débil</w:t>
            </w:r>
          </w:p>
        </w:tc>
      </w:tr>
      <w:tr>
        <w:tc>
          <w:tcPr>
            <w:tcW w:type="dxa" w:w="2351"/>
            <w:shd w:fill="F2F2F2"/>
          </w:tcPr>
          <w:p>
            <w:r/>
            <w:r>
              <w:rPr>
                <w:rFonts w:ascii="Calibri" w:hAnsi="Calibri"/>
                <w:b w:val="0"/>
                <w:i w:val="0"/>
                <w:color w:val="404040"/>
                <w:sz w:val="20"/>
              </w:rPr>
              <w:t>consumer_confidence_index</w:t>
            </w:r>
          </w:p>
        </w:tc>
        <w:tc>
          <w:tcPr>
            <w:tcW w:type="dxa" w:w="2351"/>
            <w:shd w:fill="F2F2F2"/>
          </w:tcPr>
          <w:p>
            <w:r/>
            <w:r>
              <w:rPr>
                <w:rFonts w:ascii="Calibri" w:hAnsi="Calibri"/>
                <w:b w:val="0"/>
                <w:i w:val="0"/>
                <w:color w:val="404040"/>
                <w:sz w:val="20"/>
              </w:rPr>
              <w:t>-39.79</w:t>
            </w:r>
          </w:p>
        </w:tc>
        <w:tc>
          <w:tcPr>
            <w:tcW w:type="dxa" w:w="2351"/>
            <w:shd w:fill="F2F2F2"/>
          </w:tcPr>
          <w:p>
            <w:r/>
            <w:r>
              <w:rPr>
                <w:rFonts w:ascii="Calibri" w:hAnsi="Calibri"/>
                <w:b w:val="0"/>
                <w:i w:val="0"/>
                <w:color w:val="404040"/>
                <w:sz w:val="20"/>
              </w:rPr>
              <w:t>-40.60</w:t>
            </w:r>
          </w:p>
        </w:tc>
        <w:tc>
          <w:tcPr>
            <w:tcW w:type="dxa" w:w="2351"/>
            <w:shd w:fill="F2F2F2"/>
          </w:tcPr>
          <w:p>
            <w:r/>
            <w:r>
              <w:rPr>
                <w:rFonts w:ascii="Calibri" w:hAnsi="Calibri"/>
                <w:b w:val="0"/>
                <w:i w:val="0"/>
                <w:color w:val="404040"/>
                <w:sz w:val="20"/>
              </w:rPr>
              <w:t>Efecto muy débil</w:t>
            </w:r>
          </w:p>
        </w:tc>
      </w:tr>
      <w:tr>
        <w:tc>
          <w:tcPr>
            <w:tcW w:type="dxa" w:w="2351"/>
          </w:tcPr>
          <w:p>
            <w:r/>
            <w:r>
              <w:rPr>
                <w:rFonts w:ascii="Calibri" w:hAnsi="Calibri"/>
                <w:b w:val="0"/>
                <w:i w:val="0"/>
                <w:color w:val="404040"/>
                <w:sz w:val="20"/>
              </w:rPr>
              <w:t>euribor_3m_rate</w:t>
            </w:r>
          </w:p>
        </w:tc>
        <w:tc>
          <w:tcPr>
            <w:tcW w:type="dxa" w:w="2351"/>
          </w:tcPr>
          <w:p>
            <w:r/>
            <w:r>
              <w:rPr>
                <w:rFonts w:ascii="Calibri" w:hAnsi="Calibri"/>
                <w:b w:val="0"/>
                <w:i w:val="0"/>
                <w:color w:val="404040"/>
                <w:sz w:val="20"/>
              </w:rPr>
              <w:t>2.13</w:t>
            </w:r>
          </w:p>
        </w:tc>
        <w:tc>
          <w:tcPr>
            <w:tcW w:type="dxa" w:w="2351"/>
          </w:tcPr>
          <w:p>
            <w:r/>
            <w:r>
              <w:rPr>
                <w:rFonts w:ascii="Calibri" w:hAnsi="Calibri"/>
                <w:b w:val="0"/>
                <w:i w:val="0"/>
                <w:color w:val="404040"/>
                <w:sz w:val="20"/>
              </w:rPr>
              <w:t>3.81</w:t>
            </w:r>
          </w:p>
        </w:tc>
        <w:tc>
          <w:tcPr>
            <w:tcW w:type="dxa" w:w="2351"/>
          </w:tcPr>
          <w:p>
            <w:r/>
            <w:r>
              <w:rPr>
                <w:rFonts w:ascii="Calibri" w:hAnsi="Calibri"/>
                <w:b w:val="0"/>
                <w:i w:val="0"/>
                <w:color w:val="404040"/>
                <w:sz w:val="20"/>
              </w:rPr>
              <w:t>Suscripciones ↑ cuando euribor ↓</w:t>
            </w:r>
          </w:p>
        </w:tc>
      </w:tr>
      <w:tr>
        <w:tc>
          <w:tcPr>
            <w:tcW w:type="dxa" w:w="2351"/>
            <w:shd w:fill="F2F2F2"/>
          </w:tcPr>
          <w:p>
            <w:r/>
            <w:r>
              <w:rPr>
                <w:rFonts w:ascii="Calibri" w:hAnsi="Calibri"/>
                <w:b w:val="0"/>
                <w:i w:val="0"/>
                <w:color w:val="404040"/>
                <w:sz w:val="20"/>
              </w:rPr>
              <w:t>total_employment</w:t>
            </w:r>
          </w:p>
        </w:tc>
        <w:tc>
          <w:tcPr>
            <w:tcW w:type="dxa" w:w="2351"/>
            <w:shd w:fill="F2F2F2"/>
          </w:tcPr>
          <w:p>
            <w:r/>
            <w:r>
              <w:rPr>
                <w:rFonts w:ascii="Calibri" w:hAnsi="Calibri"/>
                <w:b w:val="0"/>
                <w:i w:val="0"/>
                <w:color w:val="404040"/>
                <w:sz w:val="20"/>
              </w:rPr>
              <w:t>5.095</w:t>
            </w:r>
          </w:p>
        </w:tc>
        <w:tc>
          <w:tcPr>
            <w:tcW w:type="dxa" w:w="2351"/>
            <w:shd w:fill="F2F2F2"/>
          </w:tcPr>
          <w:p>
            <w:r/>
            <w:r>
              <w:rPr>
                <w:rFonts w:ascii="Calibri" w:hAnsi="Calibri"/>
                <w:b w:val="0"/>
                <w:i w:val="0"/>
                <w:color w:val="404040"/>
                <w:sz w:val="20"/>
              </w:rPr>
              <w:t>5.176</w:t>
            </w:r>
          </w:p>
        </w:tc>
        <w:tc>
          <w:tcPr>
            <w:tcW w:type="dxa" w:w="2351"/>
            <w:shd w:fill="F2F2F2"/>
          </w:tcPr>
          <w:p>
            <w:r/>
            <w:r>
              <w:rPr>
                <w:rFonts w:ascii="Calibri" w:hAnsi="Calibri"/>
                <w:b w:val="0"/>
                <w:i w:val="0"/>
                <w:color w:val="404040"/>
                <w:sz w:val="20"/>
              </w:rPr>
              <w:t>Suscripciones ↑ con menos empleo</w:t>
            </w:r>
          </w:p>
        </w:tc>
      </w:tr>
    </w:tbl>
    <w:p>
      <w:pPr>
        <w:spacing w:after="120"/>
      </w:pPr>
      <w:r>
        <w:rPr>
          <w:rFonts w:ascii="Calibri" w:hAnsi="Calibri"/>
          <w:b/>
          <w:i w:val="0"/>
          <w:color w:val="404040"/>
          <w:sz w:val="22"/>
        </w:rPr>
        <w:t>Conclusión macroeconómica: Los violin plots revelan que los suscriptores se concentran en periodos de euribor bajo y empleo en descenso. Los depósitos a plazo actúan como refugio seguro en contextos de incertidumbre económica.</w:t>
      </w:r>
    </w:p>
    <w:p>
      <w:r>
        <w:br w:type="page"/>
      </w:r>
    </w:p>
    <w:p>
      <w:pPr>
        <w:pStyle w:val="Heading1"/>
      </w:pPr>
      <w:r>
        <w:rPr>
          <w:rFonts w:ascii="Calibri" w:hAnsi="Calibri"/>
          <w:color w:val="1F3864"/>
        </w:rPr>
        <w:t>8. Tasas de Éxito entre Perfiles de Clientes (Sub-tarea 2.1)</w:t>
      </w:r>
    </w:p>
    <w:p>
      <w:pPr>
        <w:spacing w:after="120"/>
      </w:pPr>
      <w:r>
        <w:rPr>
          <w:rFonts w:ascii="Calibri" w:hAnsi="Calibri"/>
          <w:b w:val="0"/>
          <w:i w:val="0"/>
          <w:color w:val="404040"/>
          <w:sz w:val="22"/>
        </w:rPr>
        <w:t>El análisis bivariable del notebook (celdas 18-28) y las tablas de contingencia normalizadas (celdas 33-40) permiten comparar las tasas de éxito entre diferentes segmentos de clientes, identificando perfiles de alta y baja conversión.</w:t>
      </w:r>
    </w:p>
    <w:p>
      <w:pPr>
        <w:spacing w:after="120"/>
      </w:pPr>
      <w:r>
        <w:rPr>
          <w:rFonts w:ascii="Calibri" w:hAnsi="Calibri"/>
          <w:b/>
          <w:i w:val="0"/>
          <w:color w:val="404040"/>
          <w:sz w:val="22"/>
        </w:rPr>
        <w:t>Segmentos de Alta Conversión:</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Perfil del Cliente</w:t>
            </w:r>
          </w:p>
        </w:tc>
        <w:tc>
          <w:tcPr>
            <w:tcW w:type="dxa" w:w="2351"/>
            <w:shd w:fill="1F3864"/>
          </w:tcPr>
          <w:p>
            <w:pPr>
              <w:jc w:val="center"/>
            </w:pPr>
            <w:r/>
            <w:r>
              <w:rPr>
                <w:rFonts w:ascii="Calibri" w:hAnsi="Calibri"/>
                <w:b/>
                <w:i w:val="0"/>
                <w:color w:val="FFFFFF"/>
                <w:sz w:val="20"/>
              </w:rPr>
              <w:t>Tasa de Conversión</w:t>
            </w:r>
          </w:p>
        </w:tc>
        <w:tc>
          <w:tcPr>
            <w:tcW w:type="dxa" w:w="2351"/>
            <w:shd w:fill="1F3864"/>
          </w:tcPr>
          <w:p>
            <w:pPr>
              <w:jc w:val="center"/>
            </w:pPr>
            <w:r/>
            <w:r>
              <w:rPr>
                <w:rFonts w:ascii="Calibri" w:hAnsi="Calibri"/>
                <w:b/>
                <w:i w:val="0"/>
                <w:color w:val="FFFFFF"/>
                <w:sz w:val="20"/>
              </w:rPr>
              <w:t>n</w:t>
            </w:r>
          </w:p>
        </w:tc>
        <w:tc>
          <w:tcPr>
            <w:tcW w:type="dxa" w:w="2351"/>
            <w:shd w:fill="1F3864"/>
          </w:tcPr>
          <w:p>
            <w:pPr>
              <w:jc w:val="center"/>
            </w:pPr>
            <w:r/>
            <w:r>
              <w:rPr>
                <w:rFonts w:ascii="Calibri" w:hAnsi="Calibri"/>
                <w:b/>
                <w:i w:val="0"/>
                <w:color w:val="FFFFFF"/>
                <w:sz w:val="20"/>
              </w:rPr>
              <w:t>Insight</w:t>
            </w:r>
          </w:p>
        </w:tc>
      </w:tr>
      <w:tr>
        <w:tc>
          <w:tcPr>
            <w:tcW w:type="dxa" w:w="2351"/>
            <w:shd w:fill="F2F2F2"/>
          </w:tcPr>
          <w:p>
            <w:r/>
            <w:r>
              <w:rPr>
                <w:rFonts w:ascii="Calibri" w:hAnsi="Calibri"/>
                <w:b w:val="0"/>
                <w:i w:val="0"/>
                <w:color w:val="404040"/>
                <w:sz w:val="20"/>
              </w:rPr>
              <w:t>poutcome = success</w:t>
            </w:r>
          </w:p>
        </w:tc>
        <w:tc>
          <w:tcPr>
            <w:tcW w:type="dxa" w:w="2351"/>
            <w:shd w:fill="F2F2F2"/>
          </w:tcPr>
          <w:p>
            <w:r/>
            <w:r>
              <w:rPr>
                <w:rFonts w:ascii="Calibri" w:hAnsi="Calibri"/>
                <w:b w:val="0"/>
                <w:i w:val="0"/>
                <w:color w:val="404040"/>
                <w:sz w:val="20"/>
              </w:rPr>
              <w:t>64.91%</w:t>
            </w:r>
          </w:p>
        </w:tc>
        <w:tc>
          <w:tcPr>
            <w:tcW w:type="dxa" w:w="2351"/>
            <w:shd w:fill="F2F2F2"/>
          </w:tcPr>
          <w:p>
            <w:r/>
            <w:r>
              <w:rPr>
                <w:rFonts w:ascii="Calibri" w:hAnsi="Calibri"/>
                <w:b w:val="0"/>
                <w:i w:val="0"/>
                <w:color w:val="404040"/>
                <w:sz w:val="20"/>
              </w:rPr>
              <w:t>1.345</w:t>
            </w:r>
          </w:p>
        </w:tc>
        <w:tc>
          <w:tcPr>
            <w:tcW w:type="dxa" w:w="2351"/>
            <w:shd w:fill="F2F2F2"/>
          </w:tcPr>
          <w:p>
            <w:r/>
            <w:r>
              <w:rPr>
                <w:rFonts w:ascii="Calibri" w:hAnsi="Calibri"/>
                <w:b w:val="0"/>
                <w:i w:val="0"/>
                <w:color w:val="404040"/>
                <w:sz w:val="20"/>
              </w:rPr>
              <w:t>Cliente con éxito previo — máximo predictor</w:t>
            </w:r>
          </w:p>
        </w:tc>
      </w:tr>
      <w:tr>
        <w:tc>
          <w:tcPr>
            <w:tcW w:type="dxa" w:w="2351"/>
          </w:tcPr>
          <w:p>
            <w:r/>
            <w:r>
              <w:rPr>
                <w:rFonts w:ascii="Calibri" w:hAnsi="Calibri"/>
                <w:b w:val="0"/>
                <w:i w:val="0"/>
                <w:color w:val="404040"/>
                <w:sz w:val="20"/>
              </w:rPr>
              <w:t>Edad &gt; 60 años</w:t>
            </w:r>
          </w:p>
        </w:tc>
        <w:tc>
          <w:tcPr>
            <w:tcW w:type="dxa" w:w="2351"/>
          </w:tcPr>
          <w:p>
            <w:r/>
            <w:r>
              <w:rPr>
                <w:rFonts w:ascii="Calibri" w:hAnsi="Calibri"/>
                <w:b w:val="0"/>
                <w:i w:val="0"/>
                <w:color w:val="404040"/>
                <w:sz w:val="20"/>
              </w:rPr>
              <w:t>45.33%</w:t>
            </w:r>
          </w:p>
        </w:tc>
        <w:tc>
          <w:tcPr>
            <w:tcW w:type="dxa" w:w="2351"/>
          </w:tcPr>
          <w:p>
            <w:r/>
            <w:r>
              <w:rPr>
                <w:rFonts w:ascii="Calibri" w:hAnsi="Calibri"/>
                <w:b w:val="0"/>
                <w:i w:val="0"/>
                <w:color w:val="404040"/>
                <w:sz w:val="20"/>
              </w:rPr>
              <w:t>889</w:t>
            </w:r>
          </w:p>
        </w:tc>
        <w:tc>
          <w:tcPr>
            <w:tcW w:type="dxa" w:w="2351"/>
          </w:tcPr>
          <w:p>
            <w:r/>
            <w:r>
              <w:rPr>
                <w:rFonts w:ascii="Calibri" w:hAnsi="Calibri"/>
                <w:b w:val="0"/>
                <w:i w:val="0"/>
                <w:color w:val="404040"/>
                <w:sz w:val="20"/>
              </w:rPr>
              <w:t>Alta disposición al ahorro conservador</w:t>
            </w:r>
          </w:p>
        </w:tc>
      </w:tr>
      <w:tr>
        <w:tc>
          <w:tcPr>
            <w:tcW w:type="dxa" w:w="2351"/>
            <w:shd w:fill="F2F2F2"/>
          </w:tcPr>
          <w:p>
            <w:r/>
            <w:r>
              <w:rPr>
                <w:rFonts w:ascii="Calibri" w:hAnsi="Calibri"/>
                <w:b w:val="0"/>
                <w:i w:val="0"/>
                <w:color w:val="404040"/>
                <w:sz w:val="20"/>
              </w:rPr>
              <w:t>Estudiantes</w:t>
            </w:r>
          </w:p>
        </w:tc>
        <w:tc>
          <w:tcPr>
            <w:tcW w:type="dxa" w:w="2351"/>
            <w:shd w:fill="F2F2F2"/>
          </w:tcPr>
          <w:p>
            <w:r/>
            <w:r>
              <w:rPr>
                <w:rFonts w:ascii="Calibri" w:hAnsi="Calibri"/>
                <w:b w:val="0"/>
                <w:i w:val="0"/>
                <w:color w:val="404040"/>
                <w:sz w:val="20"/>
              </w:rPr>
              <w:t>30.99%</w:t>
            </w:r>
          </w:p>
        </w:tc>
        <w:tc>
          <w:tcPr>
            <w:tcW w:type="dxa" w:w="2351"/>
            <w:shd w:fill="F2F2F2"/>
          </w:tcPr>
          <w:p>
            <w:r/>
            <w:r>
              <w:rPr>
                <w:rFonts w:ascii="Calibri" w:hAnsi="Calibri"/>
                <w:b w:val="0"/>
                <w:i w:val="0"/>
                <w:color w:val="404040"/>
                <w:sz w:val="20"/>
              </w:rPr>
              <w:t>852</w:t>
            </w:r>
          </w:p>
        </w:tc>
        <w:tc>
          <w:tcPr>
            <w:tcW w:type="dxa" w:w="2351"/>
            <w:shd w:fill="F2F2F2"/>
          </w:tcPr>
          <w:p>
            <w:r/>
            <w:r>
              <w:rPr>
                <w:rFonts w:ascii="Calibri" w:hAnsi="Calibri"/>
                <w:b w:val="0"/>
                <w:i w:val="0"/>
                <w:color w:val="404040"/>
                <w:sz w:val="20"/>
              </w:rPr>
              <w:t>Jóvenes receptivos a primeros productos financieros</w:t>
            </w:r>
          </w:p>
        </w:tc>
      </w:tr>
      <w:tr>
        <w:tc>
          <w:tcPr>
            <w:tcW w:type="dxa" w:w="2351"/>
          </w:tcPr>
          <w:p>
            <w:r/>
            <w:r>
              <w:rPr>
                <w:rFonts w:ascii="Calibri" w:hAnsi="Calibri"/>
                <w:b w:val="0"/>
                <w:i w:val="0"/>
                <w:color w:val="404040"/>
                <w:sz w:val="20"/>
              </w:rPr>
              <w:t>Jubilados</w:t>
            </w:r>
          </w:p>
        </w:tc>
        <w:tc>
          <w:tcPr>
            <w:tcW w:type="dxa" w:w="2351"/>
          </w:tcPr>
          <w:p>
            <w:r/>
            <w:r>
              <w:rPr>
                <w:rFonts w:ascii="Calibri" w:hAnsi="Calibri"/>
                <w:b w:val="0"/>
                <w:i w:val="0"/>
                <w:color w:val="404040"/>
                <w:sz w:val="20"/>
              </w:rPr>
              <w:t>25.33%</w:t>
            </w:r>
          </w:p>
        </w:tc>
        <w:tc>
          <w:tcPr>
            <w:tcW w:type="dxa" w:w="2351"/>
          </w:tcPr>
          <w:p>
            <w:r/>
            <w:r>
              <w:rPr>
                <w:rFonts w:ascii="Calibri" w:hAnsi="Calibri"/>
                <w:b w:val="0"/>
                <w:i w:val="0"/>
                <w:color w:val="404040"/>
                <w:sz w:val="20"/>
              </w:rPr>
              <w:t>1.674</w:t>
            </w:r>
          </w:p>
        </w:tc>
        <w:tc>
          <w:tcPr>
            <w:tcW w:type="dxa" w:w="2351"/>
          </w:tcPr>
          <w:p>
            <w:r/>
            <w:r>
              <w:rPr>
                <w:rFonts w:ascii="Calibri" w:hAnsi="Calibri"/>
                <w:b w:val="0"/>
                <w:i w:val="0"/>
                <w:color w:val="404040"/>
                <w:sz w:val="20"/>
              </w:rPr>
              <w:t>Perfil con ahorros y aversión al riesgo</w:t>
            </w:r>
          </w:p>
        </w:tc>
      </w:tr>
      <w:tr>
        <w:tc>
          <w:tcPr>
            <w:tcW w:type="dxa" w:w="2351"/>
            <w:shd w:fill="F2F2F2"/>
          </w:tcPr>
          <w:p>
            <w:r/>
            <w:r>
              <w:rPr>
                <w:rFonts w:ascii="Calibri" w:hAnsi="Calibri"/>
                <w:b w:val="0"/>
                <w:i w:val="0"/>
                <w:color w:val="404040"/>
                <w:sz w:val="20"/>
              </w:rPr>
              <w:t>Cliente recurrente</w:t>
            </w:r>
          </w:p>
        </w:tc>
        <w:tc>
          <w:tcPr>
            <w:tcW w:type="dxa" w:w="2351"/>
            <w:shd w:fill="F2F2F2"/>
          </w:tcPr>
          <w:p>
            <w:r/>
            <w:r>
              <w:rPr>
                <w:rFonts w:ascii="Calibri" w:hAnsi="Calibri"/>
                <w:b w:val="0"/>
                <w:i w:val="0"/>
                <w:color w:val="404040"/>
                <w:sz w:val="20"/>
              </w:rPr>
              <w:t>26.52%</w:t>
            </w:r>
          </w:p>
        </w:tc>
        <w:tc>
          <w:tcPr>
            <w:tcW w:type="dxa" w:w="2351"/>
            <w:shd w:fill="F2F2F2"/>
          </w:tcPr>
          <w:p>
            <w:r/>
            <w:r>
              <w:rPr>
                <w:rFonts w:ascii="Calibri" w:hAnsi="Calibri"/>
                <w:b w:val="0"/>
                <w:i w:val="0"/>
                <w:color w:val="404040"/>
                <w:sz w:val="20"/>
              </w:rPr>
              <w:t>5.486</w:t>
            </w:r>
          </w:p>
        </w:tc>
        <w:tc>
          <w:tcPr>
            <w:tcW w:type="dxa" w:w="2351"/>
            <w:shd w:fill="F2F2F2"/>
          </w:tcPr>
          <w:p>
            <w:r/>
            <w:r>
              <w:rPr>
                <w:rFonts w:ascii="Calibri" w:hAnsi="Calibri"/>
                <w:b w:val="0"/>
                <w:i w:val="0"/>
                <w:color w:val="404040"/>
                <w:sz w:val="20"/>
              </w:rPr>
              <w:t>La familiaridad con la marca impulsa la conversión</w:t>
            </w:r>
          </w:p>
        </w:tc>
      </w:tr>
      <w:tr>
        <w:tc>
          <w:tcPr>
            <w:tcW w:type="dxa" w:w="2351"/>
          </w:tcPr>
          <w:p>
            <w:r/>
            <w:r>
              <w:rPr>
                <w:rFonts w:ascii="Calibri" w:hAnsi="Calibri"/>
                <w:b w:val="0"/>
                <w:i w:val="0"/>
                <w:color w:val="404040"/>
                <w:sz w:val="20"/>
              </w:rPr>
              <w:t>Solteros</w:t>
            </w:r>
          </w:p>
        </w:tc>
        <w:tc>
          <w:tcPr>
            <w:tcW w:type="dxa" w:w="2351"/>
          </w:tcPr>
          <w:p>
            <w:r/>
            <w:r>
              <w:rPr>
                <w:rFonts w:ascii="Calibri" w:hAnsi="Calibri"/>
                <w:b w:val="0"/>
                <w:i w:val="0"/>
                <w:color w:val="404040"/>
                <w:sz w:val="20"/>
              </w:rPr>
              <w:t>14.01%</w:t>
            </w:r>
          </w:p>
        </w:tc>
        <w:tc>
          <w:tcPr>
            <w:tcW w:type="dxa" w:w="2351"/>
          </w:tcPr>
          <w:p>
            <w:r/>
            <w:r>
              <w:rPr>
                <w:rFonts w:ascii="Calibri" w:hAnsi="Calibri"/>
                <w:b w:val="0"/>
                <w:i w:val="0"/>
                <w:color w:val="404040"/>
                <w:sz w:val="20"/>
              </w:rPr>
              <w:t>11.284</w:t>
            </w:r>
          </w:p>
        </w:tc>
        <w:tc>
          <w:tcPr>
            <w:tcW w:type="dxa" w:w="2351"/>
          </w:tcPr>
          <w:p>
            <w:r/>
            <w:r>
              <w:rPr>
                <w:rFonts w:ascii="Calibri" w:hAnsi="Calibri"/>
                <w:b w:val="0"/>
                <w:i w:val="0"/>
                <w:color w:val="404040"/>
                <w:sz w:val="20"/>
              </w:rPr>
              <w:t>Mayor flexibilidad financiera</w:t>
            </w:r>
          </w:p>
        </w:tc>
      </w:tr>
      <w:tr>
        <w:tc>
          <w:tcPr>
            <w:tcW w:type="dxa" w:w="2351"/>
            <w:shd w:fill="F2F2F2"/>
          </w:tcPr>
          <w:p>
            <w:r/>
            <w:r>
              <w:rPr>
                <w:rFonts w:ascii="Calibri" w:hAnsi="Calibri"/>
                <w:b w:val="0"/>
                <w:i w:val="0"/>
                <w:color w:val="404040"/>
                <w:sz w:val="20"/>
              </w:rPr>
              <w:t>Celular</w:t>
            </w:r>
          </w:p>
        </w:tc>
        <w:tc>
          <w:tcPr>
            <w:tcW w:type="dxa" w:w="2351"/>
            <w:shd w:fill="F2F2F2"/>
          </w:tcPr>
          <w:p>
            <w:r/>
            <w:r>
              <w:rPr>
                <w:rFonts w:ascii="Calibri" w:hAnsi="Calibri"/>
                <w:b w:val="0"/>
                <w:i w:val="0"/>
                <w:color w:val="404040"/>
                <w:sz w:val="20"/>
              </w:rPr>
              <w:t>14.70%</w:t>
            </w:r>
          </w:p>
        </w:tc>
        <w:tc>
          <w:tcPr>
            <w:tcW w:type="dxa" w:w="2351"/>
            <w:shd w:fill="F2F2F2"/>
          </w:tcPr>
          <w:p>
            <w:r/>
            <w:r>
              <w:rPr>
                <w:rFonts w:ascii="Calibri" w:hAnsi="Calibri"/>
                <w:b w:val="0"/>
                <w:i w:val="0"/>
                <w:color w:val="404040"/>
                <w:sz w:val="20"/>
              </w:rPr>
              <w:t>25.574</w:t>
            </w:r>
          </w:p>
        </w:tc>
        <w:tc>
          <w:tcPr>
            <w:tcW w:type="dxa" w:w="2351"/>
            <w:shd w:fill="F2F2F2"/>
          </w:tcPr>
          <w:p>
            <w:r/>
            <w:r>
              <w:rPr>
                <w:rFonts w:ascii="Calibri" w:hAnsi="Calibri"/>
                <w:b w:val="0"/>
                <w:i w:val="0"/>
                <w:color w:val="404040"/>
                <w:sz w:val="20"/>
              </w:rPr>
              <w:t>Canal preferido y más efectivo</w:t>
            </w:r>
          </w:p>
        </w:tc>
      </w:tr>
      <w:tr>
        <w:tc>
          <w:tcPr>
            <w:tcW w:type="dxa" w:w="2351"/>
          </w:tcPr>
          <w:p>
            <w:r/>
            <w:r>
              <w:rPr>
                <w:rFonts w:ascii="Calibri" w:hAnsi="Calibri"/>
                <w:b w:val="0"/>
                <w:i w:val="0"/>
                <w:color w:val="404040"/>
                <w:sz w:val="20"/>
              </w:rPr>
              <w:t>Universitarios</w:t>
            </w:r>
          </w:p>
        </w:tc>
        <w:tc>
          <w:tcPr>
            <w:tcW w:type="dxa" w:w="2351"/>
          </w:tcPr>
          <w:p>
            <w:r/>
            <w:r>
              <w:rPr>
                <w:rFonts w:ascii="Calibri" w:hAnsi="Calibri"/>
                <w:b w:val="0"/>
                <w:i w:val="0"/>
                <w:color w:val="404040"/>
                <w:sz w:val="20"/>
              </w:rPr>
              <w:t>13.75%</w:t>
            </w:r>
          </w:p>
        </w:tc>
        <w:tc>
          <w:tcPr>
            <w:tcW w:type="dxa" w:w="2351"/>
          </w:tcPr>
          <w:p>
            <w:r/>
            <w:r>
              <w:rPr>
                <w:rFonts w:ascii="Calibri" w:hAnsi="Calibri"/>
                <w:b w:val="0"/>
                <w:i w:val="0"/>
                <w:color w:val="404040"/>
                <w:sz w:val="20"/>
              </w:rPr>
              <w:t>11.887</w:t>
            </w:r>
          </w:p>
        </w:tc>
        <w:tc>
          <w:tcPr>
            <w:tcW w:type="dxa" w:w="2351"/>
          </w:tcPr>
          <w:p>
            <w:r/>
            <w:r>
              <w:rPr>
                <w:rFonts w:ascii="Calibri" w:hAnsi="Calibri"/>
                <w:b w:val="0"/>
                <w:i w:val="0"/>
                <w:color w:val="404040"/>
                <w:sz w:val="20"/>
              </w:rPr>
              <w:t>Mayor acceso e interés en productos financieros</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Segmentos de Bajo Rendimiento:</w:t>
      </w:r>
    </w:p>
    <w:tbl>
      <w:tblPr>
        <w:tblStyle w:val="TableGrid"/>
        <w:tblW w:type="auto" w:w="0"/>
        <w:jc w:val="center"/>
        <w:tblLook w:firstColumn="1" w:firstRow="1" w:lastColumn="0" w:lastRow="0" w:noHBand="0" w:noVBand="1" w:val="04A0"/>
      </w:tblPr>
      <w:tblGrid>
        <w:gridCol w:w="2351"/>
        <w:gridCol w:w="2351"/>
        <w:gridCol w:w="2351"/>
        <w:gridCol w:w="2351"/>
      </w:tblGrid>
      <w:tr>
        <w:tc>
          <w:tcPr>
            <w:tcW w:type="dxa" w:w="2351"/>
            <w:shd w:fill="1F3864"/>
          </w:tcPr>
          <w:p>
            <w:pPr>
              <w:jc w:val="center"/>
            </w:pPr>
            <w:r/>
            <w:r>
              <w:rPr>
                <w:rFonts w:ascii="Calibri" w:hAnsi="Calibri"/>
                <w:b/>
                <w:i w:val="0"/>
                <w:color w:val="FFFFFF"/>
                <w:sz w:val="20"/>
              </w:rPr>
              <w:t>Perfil del Cliente</w:t>
            </w:r>
          </w:p>
        </w:tc>
        <w:tc>
          <w:tcPr>
            <w:tcW w:type="dxa" w:w="2351"/>
            <w:shd w:fill="1F3864"/>
          </w:tcPr>
          <w:p>
            <w:pPr>
              <w:jc w:val="center"/>
            </w:pPr>
            <w:r/>
            <w:r>
              <w:rPr>
                <w:rFonts w:ascii="Calibri" w:hAnsi="Calibri"/>
                <w:b/>
                <w:i w:val="0"/>
                <w:color w:val="FFFFFF"/>
                <w:sz w:val="20"/>
              </w:rPr>
              <w:t>Tasa de Conversión</w:t>
            </w:r>
          </w:p>
        </w:tc>
        <w:tc>
          <w:tcPr>
            <w:tcW w:type="dxa" w:w="2351"/>
            <w:shd w:fill="1F3864"/>
          </w:tcPr>
          <w:p>
            <w:pPr>
              <w:jc w:val="center"/>
            </w:pPr>
            <w:r/>
            <w:r>
              <w:rPr>
                <w:rFonts w:ascii="Calibri" w:hAnsi="Calibri"/>
                <w:b/>
                <w:i w:val="0"/>
                <w:color w:val="FFFFFF"/>
                <w:sz w:val="20"/>
              </w:rPr>
              <w:t>n</w:t>
            </w:r>
          </w:p>
        </w:tc>
        <w:tc>
          <w:tcPr>
            <w:tcW w:type="dxa" w:w="2351"/>
            <w:shd w:fill="1F3864"/>
          </w:tcPr>
          <w:p>
            <w:pPr>
              <w:jc w:val="center"/>
            </w:pPr>
            <w:r/>
            <w:r>
              <w:rPr>
                <w:rFonts w:ascii="Calibri" w:hAnsi="Calibri"/>
                <w:b/>
                <w:i w:val="0"/>
                <w:color w:val="FFFFFF"/>
                <w:sz w:val="20"/>
              </w:rPr>
              <w:t>Insight</w:t>
            </w:r>
          </w:p>
        </w:tc>
      </w:tr>
      <w:tr>
        <w:tc>
          <w:tcPr>
            <w:tcW w:type="dxa" w:w="2351"/>
            <w:shd w:fill="F2F2F2"/>
          </w:tcPr>
          <w:p>
            <w:r/>
            <w:r>
              <w:rPr>
                <w:rFonts w:ascii="Calibri" w:hAnsi="Calibri"/>
                <w:b w:val="0"/>
                <w:i w:val="0"/>
                <w:color w:val="404040"/>
                <w:sz w:val="20"/>
              </w:rPr>
              <w:t>blue-collar</w:t>
            </w:r>
          </w:p>
        </w:tc>
        <w:tc>
          <w:tcPr>
            <w:tcW w:type="dxa" w:w="2351"/>
            <w:shd w:fill="F2F2F2"/>
          </w:tcPr>
          <w:p>
            <w:r/>
            <w:r>
              <w:rPr>
                <w:rFonts w:ascii="Calibri" w:hAnsi="Calibri"/>
                <w:b w:val="0"/>
                <w:i w:val="0"/>
                <w:color w:val="404040"/>
                <w:sz w:val="20"/>
              </w:rPr>
              <w:t>6.90%</w:t>
            </w:r>
          </w:p>
        </w:tc>
        <w:tc>
          <w:tcPr>
            <w:tcW w:type="dxa" w:w="2351"/>
            <w:shd w:fill="F2F2F2"/>
          </w:tcPr>
          <w:p>
            <w:r/>
            <w:r>
              <w:rPr>
                <w:rFonts w:ascii="Calibri" w:hAnsi="Calibri"/>
                <w:b w:val="0"/>
                <w:i w:val="0"/>
                <w:color w:val="404040"/>
                <w:sz w:val="20"/>
              </w:rPr>
              <w:t>9.013</w:t>
            </w:r>
          </w:p>
        </w:tc>
        <w:tc>
          <w:tcPr>
            <w:tcW w:type="dxa" w:w="2351"/>
            <w:shd w:fill="F2F2F2"/>
          </w:tcPr>
          <w:p>
            <w:r/>
            <w:r>
              <w:rPr>
                <w:rFonts w:ascii="Calibri" w:hAnsi="Calibri"/>
                <w:b w:val="0"/>
                <w:i w:val="0"/>
                <w:color w:val="404040"/>
                <w:sz w:val="20"/>
              </w:rPr>
              <w:t>Trabajadores manuales — baja propensión</w:t>
            </w:r>
          </w:p>
        </w:tc>
      </w:tr>
      <w:tr>
        <w:tc>
          <w:tcPr>
            <w:tcW w:type="dxa" w:w="2351"/>
          </w:tcPr>
          <w:p>
            <w:r/>
            <w:r>
              <w:rPr>
                <w:rFonts w:ascii="Calibri" w:hAnsi="Calibri"/>
                <w:b w:val="0"/>
                <w:i w:val="0"/>
                <w:color w:val="404040"/>
                <w:sz w:val="20"/>
              </w:rPr>
              <w:t>Contactados en mayo</w:t>
            </w:r>
          </w:p>
        </w:tc>
        <w:tc>
          <w:tcPr>
            <w:tcW w:type="dxa" w:w="2351"/>
          </w:tcPr>
          <w:p>
            <w:r/>
            <w:r>
              <w:rPr>
                <w:rFonts w:ascii="Calibri" w:hAnsi="Calibri"/>
                <w:b w:val="0"/>
                <w:i w:val="0"/>
                <w:color w:val="404040"/>
                <w:sz w:val="20"/>
              </w:rPr>
              <w:t>6.47%</w:t>
            </w:r>
          </w:p>
        </w:tc>
        <w:tc>
          <w:tcPr>
            <w:tcW w:type="dxa" w:w="2351"/>
          </w:tcPr>
          <w:p>
            <w:r/>
            <w:r>
              <w:rPr>
                <w:rFonts w:ascii="Calibri" w:hAnsi="Calibri"/>
                <w:b w:val="0"/>
                <w:i w:val="0"/>
                <w:color w:val="404040"/>
                <w:sz w:val="20"/>
              </w:rPr>
              <w:t>13.417</w:t>
            </w:r>
          </w:p>
        </w:tc>
        <w:tc>
          <w:tcPr>
            <w:tcW w:type="dxa" w:w="2351"/>
          </w:tcPr>
          <w:p>
            <w:r/>
            <w:r>
              <w:rPr>
                <w:rFonts w:ascii="Calibri" w:hAnsi="Calibri"/>
                <w:b w:val="0"/>
                <w:i w:val="0"/>
                <w:color w:val="404040"/>
                <w:sz w:val="20"/>
              </w:rPr>
              <w:t>Campaña masiva poco segmentada</w:t>
            </w:r>
          </w:p>
        </w:tc>
      </w:tr>
      <w:tr>
        <w:tc>
          <w:tcPr>
            <w:tcW w:type="dxa" w:w="2351"/>
            <w:shd w:fill="F2F2F2"/>
          </w:tcPr>
          <w:p>
            <w:r/>
            <w:r>
              <w:rPr>
                <w:rFonts w:ascii="Calibri" w:hAnsi="Calibri"/>
                <w:b w:val="0"/>
                <w:i w:val="0"/>
                <w:color w:val="404040"/>
                <w:sz w:val="20"/>
              </w:rPr>
              <w:t>credit_default = undisclosed</w:t>
            </w:r>
          </w:p>
        </w:tc>
        <w:tc>
          <w:tcPr>
            <w:tcW w:type="dxa" w:w="2351"/>
            <w:shd w:fill="F2F2F2"/>
          </w:tcPr>
          <w:p>
            <w:r/>
            <w:r>
              <w:rPr>
                <w:rFonts w:ascii="Calibri" w:hAnsi="Calibri"/>
                <w:b w:val="0"/>
                <w:i w:val="0"/>
                <w:color w:val="404040"/>
                <w:sz w:val="20"/>
              </w:rPr>
              <w:t>5.16%</w:t>
            </w:r>
          </w:p>
        </w:tc>
        <w:tc>
          <w:tcPr>
            <w:tcW w:type="dxa" w:w="2351"/>
            <w:shd w:fill="F2F2F2"/>
          </w:tcPr>
          <w:p>
            <w:r/>
            <w:r>
              <w:rPr>
                <w:rFonts w:ascii="Calibri" w:hAnsi="Calibri"/>
                <w:b w:val="0"/>
                <w:i w:val="0"/>
                <w:color w:val="404040"/>
                <w:sz w:val="20"/>
              </w:rPr>
              <w:t>8.369</w:t>
            </w:r>
          </w:p>
        </w:tc>
        <w:tc>
          <w:tcPr>
            <w:tcW w:type="dxa" w:w="2351"/>
            <w:shd w:fill="F2F2F2"/>
          </w:tcPr>
          <w:p>
            <w:r/>
            <w:r>
              <w:rPr>
                <w:rFonts w:ascii="Calibri" w:hAnsi="Calibri"/>
                <w:b w:val="0"/>
                <w:i w:val="0"/>
                <w:color w:val="404040"/>
                <w:sz w:val="20"/>
              </w:rPr>
              <w:t>Sin historial crediticio — perfil conservador</w:t>
            </w:r>
          </w:p>
        </w:tc>
      </w:tr>
      <w:tr>
        <w:tc>
          <w:tcPr>
            <w:tcW w:type="dxa" w:w="2351"/>
          </w:tcPr>
          <w:p>
            <w:r/>
            <w:r>
              <w:rPr>
                <w:rFonts w:ascii="Calibri" w:hAnsi="Calibri"/>
                <w:b w:val="0"/>
                <w:i w:val="0"/>
                <w:color w:val="404040"/>
                <w:sz w:val="20"/>
              </w:rPr>
              <w:t>Teléfono fijo</w:t>
            </w:r>
          </w:p>
        </w:tc>
        <w:tc>
          <w:tcPr>
            <w:tcW w:type="dxa" w:w="2351"/>
          </w:tcPr>
          <w:p>
            <w:r/>
            <w:r>
              <w:rPr>
                <w:rFonts w:ascii="Calibri" w:hAnsi="Calibri"/>
                <w:b w:val="0"/>
                <w:i w:val="0"/>
                <w:color w:val="404040"/>
                <w:sz w:val="20"/>
              </w:rPr>
              <w:t>5.28%</w:t>
            </w:r>
          </w:p>
        </w:tc>
        <w:tc>
          <w:tcPr>
            <w:tcW w:type="dxa" w:w="2351"/>
          </w:tcPr>
          <w:p>
            <w:r/>
            <w:r>
              <w:rPr>
                <w:rFonts w:ascii="Calibri" w:hAnsi="Calibri"/>
                <w:b w:val="0"/>
                <w:i w:val="0"/>
                <w:color w:val="404040"/>
                <w:sz w:val="20"/>
              </w:rPr>
              <w:t>14.612</w:t>
            </w:r>
          </w:p>
        </w:tc>
        <w:tc>
          <w:tcPr>
            <w:tcW w:type="dxa" w:w="2351"/>
          </w:tcPr>
          <w:p>
            <w:r/>
            <w:r>
              <w:rPr>
                <w:rFonts w:ascii="Calibri" w:hAnsi="Calibri"/>
                <w:b w:val="0"/>
                <w:i w:val="0"/>
                <w:color w:val="404040"/>
                <w:sz w:val="20"/>
              </w:rPr>
              <w:t>Canal menos efectivo</w:t>
            </w:r>
          </w:p>
        </w:tc>
      </w:tr>
      <w:tr>
        <w:tc>
          <w:tcPr>
            <w:tcW w:type="dxa" w:w="2351"/>
            <w:shd w:fill="F2F2F2"/>
          </w:tcPr>
          <w:p>
            <w:r/>
            <w:r>
              <w:rPr>
                <w:rFonts w:ascii="Calibri" w:hAnsi="Calibri"/>
                <w:b w:val="0"/>
                <w:i w:val="0"/>
                <w:color w:val="404040"/>
                <w:sz w:val="20"/>
              </w:rPr>
              <w:t>Contactados &gt;3 veces</w:t>
            </w:r>
          </w:p>
        </w:tc>
        <w:tc>
          <w:tcPr>
            <w:tcW w:type="dxa" w:w="2351"/>
            <w:shd w:fill="F2F2F2"/>
          </w:tcPr>
          <w:p>
            <w:r/>
            <w:r>
              <w:rPr>
                <w:rFonts w:ascii="Calibri" w:hAnsi="Calibri"/>
                <w:b w:val="0"/>
                <w:i w:val="0"/>
                <w:color w:val="404040"/>
                <w:sz w:val="20"/>
              </w:rPr>
              <w:t>7.36%</w:t>
            </w:r>
          </w:p>
        </w:tc>
        <w:tc>
          <w:tcPr>
            <w:tcW w:type="dxa" w:w="2351"/>
            <w:shd w:fill="F2F2F2"/>
          </w:tcPr>
          <w:p>
            <w:r/>
            <w:r>
              <w:rPr>
                <w:rFonts w:ascii="Calibri" w:hAnsi="Calibri"/>
                <w:b w:val="0"/>
                <w:i w:val="0"/>
                <w:color w:val="404040"/>
                <w:sz w:val="20"/>
              </w:rPr>
              <w:t>7.461</w:t>
            </w:r>
          </w:p>
        </w:tc>
        <w:tc>
          <w:tcPr>
            <w:tcW w:type="dxa" w:w="2351"/>
            <w:shd w:fill="F2F2F2"/>
          </w:tcPr>
          <w:p>
            <w:r/>
            <w:r>
              <w:rPr>
                <w:rFonts w:ascii="Calibri" w:hAnsi="Calibri"/>
                <w:b w:val="0"/>
                <w:i w:val="0"/>
                <w:color w:val="404040"/>
                <w:sz w:val="20"/>
              </w:rPr>
              <w:t>Saturación contraproducente</w:t>
            </w:r>
          </w:p>
        </w:tc>
      </w:tr>
      <w:tr>
        <w:tc>
          <w:tcPr>
            <w:tcW w:type="dxa" w:w="2351"/>
          </w:tcPr>
          <w:p>
            <w:r/>
            <w:r>
              <w:rPr>
                <w:rFonts w:ascii="Calibri" w:hAnsi="Calibri"/>
                <w:b w:val="0"/>
                <w:i w:val="0"/>
                <w:color w:val="404040"/>
                <w:sz w:val="20"/>
              </w:rPr>
              <w:t>Educación basic.9y</w:t>
            </w:r>
          </w:p>
        </w:tc>
        <w:tc>
          <w:tcPr>
            <w:tcW w:type="dxa" w:w="2351"/>
          </w:tcPr>
          <w:p>
            <w:r/>
            <w:r>
              <w:rPr>
                <w:rFonts w:ascii="Calibri" w:hAnsi="Calibri"/>
                <w:b w:val="0"/>
                <w:i w:val="0"/>
                <w:color w:val="404040"/>
                <w:sz w:val="20"/>
              </w:rPr>
              <w:t>7.80%</w:t>
            </w:r>
          </w:p>
        </w:tc>
        <w:tc>
          <w:tcPr>
            <w:tcW w:type="dxa" w:w="2351"/>
          </w:tcPr>
          <w:p>
            <w:r/>
            <w:r>
              <w:rPr>
                <w:rFonts w:ascii="Calibri" w:hAnsi="Calibri"/>
                <w:b w:val="0"/>
                <w:i w:val="0"/>
                <w:color w:val="404040"/>
                <w:sz w:val="20"/>
              </w:rPr>
              <w:t>5.894</w:t>
            </w:r>
          </w:p>
        </w:tc>
        <w:tc>
          <w:tcPr>
            <w:tcW w:type="dxa" w:w="2351"/>
          </w:tcPr>
          <w:p>
            <w:r/>
            <w:r>
              <w:rPr>
                <w:rFonts w:ascii="Calibri" w:hAnsi="Calibri"/>
                <w:b w:val="0"/>
                <w:i w:val="0"/>
                <w:color w:val="404040"/>
                <w:sz w:val="20"/>
              </w:rPr>
              <w:t>Menor interés en productos financieros</w:t>
            </w:r>
          </w:p>
        </w:tc>
      </w:tr>
    </w:tbl>
    <w:p>
      <w:pPr>
        <w:spacing w:after="120"/>
      </w:pPr>
      <w:r>
        <w:rPr>
          <w:rFonts w:ascii="Calibri" w:hAnsi="Calibri"/>
          <w:b w:val="0"/>
          <w:i w:val="0"/>
          <w:color w:val="404040"/>
          <w:sz w:val="22"/>
        </w:rPr>
      </w:r>
    </w:p>
    <w:p>
      <w:pPr>
        <w:spacing w:after="120"/>
      </w:pPr>
      <w:r>
        <w:rPr>
          <w:rFonts w:ascii="Calibri" w:hAnsi="Calibri"/>
          <w:b/>
          <w:i w:val="0"/>
          <w:color w:val="404040"/>
          <w:sz w:val="22"/>
        </w:rPr>
        <w:t>Contraste clave — volumen vs eficiencia:</w:t>
      </w:r>
    </w:p>
    <w:p>
      <w:pPr>
        <w:spacing w:after="120"/>
      </w:pPr>
      <w:r>
        <w:rPr>
          <w:rFonts w:ascii="Calibri" w:hAnsi="Calibri"/>
          <w:b w:val="0"/>
          <w:i w:val="0"/>
          <w:color w:val="404040"/>
          <w:sz w:val="22"/>
        </w:rPr>
        <w:t>Las tablas de contingencia normalizadas (pd.crosstab con normalize=True, multiplicado por 100) revelan que los sectores con mayor volumen de contactos (admin., blue-collar, casados) no son los más eficientes. Los estudiantes y jubilados, que representan segmentos pequeños, tienen tasas de conversión 3-4× superiores a la media.</w:t>
      </w:r>
    </w:p>
    <w:p>
      <w:pPr>
        <w:spacing w:after="120"/>
      </w:pPr>
      <w:r>
        <w:rPr>
          <w:rFonts w:ascii="Calibri" w:hAnsi="Calibri"/>
          <w:b/>
          <w:i w:val="0"/>
          <w:color w:val="404040"/>
          <w:sz w:val="22"/>
        </w:rPr>
        <w:t>Impacto de variables financieras:</w:t>
      </w:r>
    </w:p>
    <w:p>
      <w:pPr>
        <w:spacing w:after="120"/>
      </w:pPr>
      <w:r>
        <w:rPr>
          <w:rFonts w:ascii="Calibri" w:hAnsi="Calibri"/>
          <w:b w:val="0"/>
          <w:i w:val="0"/>
          <w:color w:val="404040"/>
          <w:sz w:val="22"/>
        </w:rPr>
        <w:t>Los crosstabs de housing_loan (celda 36) y personal_loan (celda 37) confirman que estas variables no son discriminadores significativos: las diferencias de conversión son inferiores a 1 punto porcentual. La decisión de contratar un depósito no depende de la carga financiera existente del cliente.</w:t>
      </w:r>
    </w:p>
    <w:p>
      <w:r>
        <w:br w:type="page"/>
      </w:r>
    </w:p>
    <w:p>
      <w:pPr>
        <w:pStyle w:val="Heading1"/>
      </w:pPr>
      <w:r>
        <w:rPr>
          <w:rFonts w:ascii="Calibri" w:hAnsi="Calibri"/>
          <w:color w:val="1F3864"/>
        </w:rPr>
        <w:t>9. Indicadores del Éxito de la Campaña (Sub-tarea 2.2)</w:t>
      </w:r>
    </w:p>
    <w:p>
      <w:pPr>
        <w:spacing w:after="120"/>
      </w:pPr>
      <w:r>
        <w:rPr>
          <w:rFonts w:ascii="Calibri" w:hAnsi="Calibri"/>
          <w:b w:val="0"/>
          <w:i w:val="0"/>
          <w:color w:val="404040"/>
          <w:sz w:val="22"/>
        </w:rPr>
        <w:t>Se identificaron tres indicadores críticos que determinan el éxito de la campaña, analizados mediante los barplots de success_rate y los violin plots del notebook:</w:t>
      </w:r>
    </w:p>
    <w:p>
      <w:pPr>
        <w:spacing w:after="120"/>
      </w:pPr>
      <w:r>
        <w:rPr>
          <w:rFonts w:ascii="Calibri" w:hAnsi="Calibri"/>
          <w:b/>
          <w:i w:val="0"/>
          <w:color w:val="404040"/>
          <w:sz w:val="22"/>
        </w:rPr>
        <w:t>Indicador 1 — La Duración de la Llamada (Post-facto):</w:t>
      </w:r>
    </w:p>
    <w:p>
      <w:pPr>
        <w:spacing w:after="120"/>
      </w:pPr>
      <w:r>
        <w:rPr>
          <w:rFonts w:ascii="Calibri" w:hAnsi="Calibri"/>
          <w:b w:val="0"/>
          <w:i w:val="0"/>
          <w:color w:val="404040"/>
          <w:sz w:val="22"/>
        </w:rPr>
        <w:t>El barplot de success_rate por call_duration_group (celda 18) es la visualización más contundente del notebook. Existe una relación proporcional directa y fuerte:</w:t>
      </w:r>
    </w:p>
    <w:p>
      <w:pPr>
        <w:pStyle w:val="ListBullet"/>
      </w:pPr>
      <w:r>
        <w:rPr>
          <w:rFonts w:ascii="Calibri" w:hAnsi="Calibri"/>
          <w:b w:val="0"/>
          <w:i w:val="0"/>
          <w:color w:val="404040"/>
          <w:sz w:val="22"/>
        </w:rPr>
        <w:t>Llamadas &lt; 1 min: 0.02% — llamadas no efectivas, el agente no logra enganchar.</w:t>
      </w:r>
    </w:p>
    <w:p>
      <w:pPr>
        <w:pStyle w:val="ListBullet"/>
      </w:pPr>
      <w:r>
        <w:rPr>
          <w:rFonts w:ascii="Calibri" w:hAnsi="Calibri"/>
          <w:b w:val="0"/>
          <w:i w:val="0"/>
          <w:color w:val="404040"/>
          <w:sz w:val="22"/>
        </w:rPr>
        <w:t>Llamadas 4-5 min: 10.22% — punto de inflexión donde la conversión supera la media.</w:t>
      </w:r>
    </w:p>
    <w:p>
      <w:pPr>
        <w:pStyle w:val="ListBullet"/>
      </w:pPr>
      <w:r>
        <w:rPr>
          <w:rFonts w:ascii="Calibri" w:hAnsi="Calibri"/>
          <w:b w:val="0"/>
          <w:i w:val="0"/>
          <w:color w:val="404040"/>
          <w:sz w:val="22"/>
        </w:rPr>
        <w:t>Llamadas 11-20 min: 45.96% — casi 1 de cada 2 clientes contrata.</w:t>
      </w:r>
    </w:p>
    <w:p>
      <w:pPr>
        <w:pStyle w:val="ListBullet"/>
      </w:pPr>
      <w:r>
        <w:rPr>
          <w:rFonts w:ascii="Calibri" w:hAnsi="Calibri"/>
          <w:b w:val="0"/>
          <w:i w:val="0"/>
          <w:color w:val="404040"/>
          <w:sz w:val="22"/>
        </w:rPr>
        <w:t>Llamadas 21+ min: 63.25% — 2 de cada 3 clientes contrata.</w:t>
      </w:r>
    </w:p>
    <w:p>
      <w:pPr>
        <w:spacing w:after="120"/>
      </w:pPr>
      <w:r>
        <w:rPr>
          <w:rFonts w:ascii="Calibri" w:hAnsi="Calibri"/>
          <w:b w:val="0"/>
          <w:i/>
          <w:color w:val="404040"/>
          <w:sz w:val="22"/>
        </w:rPr>
        <w:t>Si bien duration no puede usarse como predictor a priori (solo se conoce tras la llamada), es un indicador valioso para evaluar la calidad de los scripts de venta y el engagement logrado por los agentes durante la conversación.</w:t>
      </w:r>
    </w:p>
    <w:p>
      <w:pPr>
        <w:spacing w:after="120"/>
      </w:pPr>
      <w:r>
        <w:rPr>
          <w:rFonts w:ascii="Calibri" w:hAnsi="Calibri"/>
          <w:b w:val="0"/>
          <w:i w:val="0"/>
          <w:color w:val="404040"/>
          <w:sz w:val="22"/>
        </w:rPr>
      </w:r>
    </w:p>
    <w:p>
      <w:pPr>
        <w:spacing w:after="120"/>
      </w:pPr>
      <w:r>
        <w:rPr>
          <w:rFonts w:ascii="Calibri" w:hAnsi="Calibri"/>
          <w:b/>
          <w:i w:val="0"/>
          <w:color w:val="404040"/>
          <w:sz w:val="22"/>
        </w:rPr>
        <w:t>Indicador 2 — El Historial del Cliente (Predictor Principal):</w:t>
      </w:r>
    </w:p>
    <w:p>
      <w:pPr>
        <w:spacing w:after="120"/>
      </w:pPr>
      <w:r>
        <w:rPr>
          <w:rFonts w:ascii="Calibri" w:hAnsi="Calibri"/>
          <w:b w:val="0"/>
          <w:i w:val="0"/>
          <w:color w:val="404040"/>
          <w:sz w:val="22"/>
        </w:rPr>
        <w:t>Los barplots de celdas 20, 22 y 23 analizan tres dimensiones del historial:</w:t>
      </w:r>
    </w:p>
    <w:p>
      <w:pPr>
        <w:pStyle w:val="ListBullet"/>
      </w:pPr>
      <w:r>
        <w:rPr>
          <w:rFonts w:ascii="Calibri" w:hAnsi="Calibri"/>
          <w:b w:val="0"/>
          <w:i w:val="0"/>
          <w:color w:val="404040"/>
          <w:sz w:val="22"/>
        </w:rPr>
        <w:t>poutcome = success: 64.91% de conversión (celda 20). Los clientes que aceptaron en una campaña anterior convierten 7× más que los nuevos.</w:t>
      </w:r>
    </w:p>
    <w:p>
      <w:pPr>
        <w:pStyle w:val="ListBullet"/>
      </w:pPr>
      <w:r>
        <w:rPr>
          <w:rFonts w:ascii="Calibri" w:hAnsi="Calibri"/>
          <w:b w:val="0"/>
          <w:i w:val="0"/>
          <w:color w:val="404040"/>
          <w:sz w:val="22"/>
        </w:rPr>
        <w:t>is_new_campaign_client = no: 26.52% vs 8.87% de los nuevos (celda 23). Los clientes recurrentes son 3× más valiosos.</w:t>
      </w:r>
    </w:p>
    <w:p>
      <w:pPr>
        <w:pStyle w:val="ListBullet"/>
      </w:pPr>
      <w:r>
        <w:rPr>
          <w:rFonts w:ascii="Calibri" w:hAnsi="Calibri"/>
          <w:b w:val="0"/>
          <w:i w:val="0"/>
          <w:color w:val="404040"/>
          <w:sz w:val="22"/>
        </w:rPr>
        <w:t>previously_contacted ≠ 999: Los clientes con contacto previo reciente muestran tasas de conversión dramáticamente superiores (celda 22 — days_since_last_contact_group, y celda 27 — análisis por segmento).</w:t>
      </w:r>
    </w:p>
    <w:p>
      <w:pPr>
        <w:jc w:val="center"/>
      </w:pPr>
      <w:r>
        <w:drawing>
          <wp:inline xmlns:a="http://schemas.openxmlformats.org/drawingml/2006/main" xmlns:pic="http://schemas.openxmlformats.org/drawingml/2006/picture">
            <wp:extent cx="5486400" cy="3447016"/>
            <wp:docPr id="2" name="Picture 2"/>
            <wp:cNvGraphicFramePr>
              <a:graphicFrameLocks noChangeAspect="1"/>
            </wp:cNvGraphicFramePr>
            <a:graphic>
              <a:graphicData uri="http://schemas.openxmlformats.org/drawingml/2006/picture">
                <pic:pic>
                  <pic:nvPicPr>
                    <pic:cNvPr id="0" name="fig11_conversion_recencia.png"/>
                    <pic:cNvPicPr/>
                  </pic:nvPicPr>
                  <pic:blipFill>
                    <a:blip r:embed="rId10"/>
                    <a:stretch>
                      <a:fillRect/>
                    </a:stretch>
                  </pic:blipFill>
                  <pic:spPr>
                    <a:xfrm>
                      <a:off x="0" y="0"/>
                      <a:ext cx="5486400" cy="3447016"/>
                    </a:xfrm>
                    <a:prstGeom prst="rect"/>
                  </pic:spPr>
                </pic:pic>
              </a:graphicData>
            </a:graphic>
          </wp:inline>
        </w:drawing>
      </w:r>
    </w:p>
    <w:p>
      <w:pPr>
        <w:jc w:val="center"/>
      </w:pPr>
      <w:r>
        <w:rPr>
          <w:rFonts w:ascii="Calibri" w:hAnsi="Calibri"/>
          <w:i/>
          <w:color w:val="808080"/>
          <w:sz w:val="18"/>
        </w:rPr>
        <w:t>Figura 16. Tasa de conversión por recencia del último contacto. Los clientes contactados recientemente (same_day, 1 semana) convierten dramáticamente más que los nunca contactados. Generado en la celda 22 del notebook.</w:t>
      </w:r>
    </w:p>
    <w:p>
      <w:pPr>
        <w:spacing w:before="120" w:after="120"/>
      </w:pPr>
    </w:p>
    <w:p>
      <w:pPr>
        <w:spacing w:after="120"/>
      </w:pPr>
      <w:r>
        <w:rPr>
          <w:rFonts w:ascii="Calibri" w:hAnsi="Calibri"/>
          <w:b w:val="0"/>
          <w:i w:val="0"/>
          <w:color w:val="404040"/>
          <w:sz w:val="22"/>
        </w:rPr>
        <w:t>Conclusión: El historial del cliente es, sin discusión, el predictor más poderoso del dataset. Las campañas futuras deben priorizar la re-contactación de clientes exitosos antes de invertir en leads nuevos.</w:t>
      </w:r>
    </w:p>
    <w:p>
      <w:pPr>
        <w:spacing w:after="120"/>
      </w:pPr>
      <w:r>
        <w:rPr>
          <w:rFonts w:ascii="Calibri" w:hAnsi="Calibri"/>
          <w:b w:val="0"/>
          <w:i w:val="0"/>
          <w:color w:val="404040"/>
          <w:sz w:val="22"/>
        </w:rPr>
      </w:r>
    </w:p>
    <w:p>
      <w:pPr>
        <w:spacing w:after="120"/>
      </w:pPr>
      <w:r>
        <w:rPr>
          <w:rFonts w:ascii="Calibri" w:hAnsi="Calibri"/>
          <w:b/>
          <w:i w:val="0"/>
          <w:color w:val="404040"/>
          <w:sz w:val="22"/>
        </w:rPr>
        <w:t>Indicador 3 — El Contexto Macroeconómico:</w:t>
      </w:r>
    </w:p>
    <w:p>
      <w:pPr>
        <w:spacing w:after="120"/>
      </w:pPr>
      <w:r>
        <w:rPr>
          <w:rFonts w:ascii="Calibri" w:hAnsi="Calibri"/>
          <w:b w:val="0"/>
          <w:i w:val="0"/>
          <w:color w:val="404040"/>
          <w:sz w:val="22"/>
        </w:rPr>
        <w:t>Los violin plots (celda 31) con inner="quartile" permiten visualizar la distribución completa de cada variable macroeconómica para suscriptores vs no suscriptores:</w:t>
      </w:r>
    </w:p>
    <w:p>
      <w:pPr>
        <w:pStyle w:val="ListBullet"/>
      </w:pPr>
      <w:r>
        <w:rPr>
          <w:rFonts w:ascii="Calibri" w:hAnsi="Calibri"/>
          <w:b w:val="0"/>
          <w:i w:val="0"/>
          <w:color w:val="404040"/>
          <w:sz w:val="22"/>
        </w:rPr>
        <w:t>Euribor bajo: Los suscriptores se concentran en euribor_3m_rate ~2.13 vs 3.81 de los no suscriptores. En entornos de tipos bajos, los depósitos son más atractivos como refugio.</w:t>
      </w:r>
    </w:p>
    <w:p>
      <w:pPr>
        <w:pStyle w:val="ListBullet"/>
      </w:pPr>
      <w:r>
        <w:rPr>
          <w:rFonts w:ascii="Calibri" w:hAnsi="Calibri"/>
          <w:b w:val="0"/>
          <w:i w:val="0"/>
          <w:color w:val="404040"/>
          <w:sz w:val="22"/>
        </w:rPr>
        <w:t>Empleo en descenso: employment_variation_rate media de -1.23 para suscriptores vs +0.25 para no suscriptores. La incertidumbre laboral empuja al ahorro conservador.</w:t>
      </w:r>
    </w:p>
    <w:p>
      <w:pPr>
        <w:pStyle w:val="ListBullet"/>
      </w:pPr>
      <w:r>
        <w:rPr>
          <w:rFonts w:ascii="Calibri" w:hAnsi="Calibri"/>
          <w:b w:val="0"/>
          <w:i w:val="0"/>
          <w:color w:val="404040"/>
          <w:sz w:val="22"/>
        </w:rPr>
        <w:t>Menor empleo total: total_employment media 5.095k (yes) vs 5.176k (no).</w:t>
      </w:r>
    </w:p>
    <w:p>
      <w:pPr>
        <w:spacing w:after="120"/>
      </w:pPr>
      <w:r>
        <w:rPr>
          <w:rFonts w:ascii="Calibri" w:hAnsi="Calibri"/>
          <w:b w:val="0"/>
          <w:i w:val="0"/>
          <w:color w:val="404040"/>
          <w:sz w:val="22"/>
        </w:rPr>
        <w:t>El timing macroeconómico es un factor modulador clave: lanzar campañas en periodos de euribor bajo e incertidumbre laboral maximiza la receptividad del cliente.</w:t>
      </w:r>
    </w:p>
    <w:p>
      <w:r>
        <w:br w:type="page"/>
      </w:r>
    </w:p>
    <w:p>
      <w:pPr>
        <w:pStyle w:val="Heading1"/>
      </w:pPr>
      <w:r>
        <w:rPr>
          <w:rFonts w:ascii="Calibri" w:hAnsi="Calibri"/>
          <w:color w:val="1F3864"/>
        </w:rPr>
        <w:t>10. Resumen de Hallazgos y Ranking de Factores</w:t>
      </w:r>
    </w:p>
    <w:p>
      <w:pPr>
        <w:spacing w:after="120"/>
      </w:pPr>
      <w:r>
        <w:rPr>
          <w:rFonts w:ascii="Calibri" w:hAnsi="Calibri"/>
          <w:b w:val="0"/>
          <w:i w:val="0"/>
          <w:color w:val="404040"/>
          <w:sz w:val="22"/>
        </w:rPr>
        <w:t>Factores ordenados por impacto en la conversión, consolidando todos los análisis del notebook:</w:t>
      </w:r>
    </w:p>
    <w:p>
      <w:pPr>
        <w:jc w:val="center"/>
      </w:pPr>
      <w:r>
        <w:drawing>
          <wp:inline xmlns:a="http://schemas.openxmlformats.org/drawingml/2006/main" xmlns:pic="http://schemas.openxmlformats.org/drawingml/2006/picture">
            <wp:extent cx="5486400" cy="3092127"/>
            <wp:docPr id="1" name="Picture 1"/>
            <wp:cNvGraphicFramePr>
              <a:graphicFrameLocks noChangeAspect="1"/>
            </wp:cNvGraphicFramePr>
            <a:graphic>
              <a:graphicData uri="http://schemas.openxmlformats.org/drawingml/2006/picture">
                <pic:pic>
                  <pic:nvPicPr>
                    <pic:cNvPr id="0" name="fig16_ranking_factores.png"/>
                    <pic:cNvPicPr/>
                  </pic:nvPicPr>
                  <pic:blipFill>
                    <a:blip r:embed="rId9"/>
                    <a:stretch>
                      <a:fillRect/>
                    </a:stretch>
                  </pic:blipFill>
                  <pic:spPr>
                    <a:xfrm>
                      <a:off x="0" y="0"/>
                      <a:ext cx="5486400" cy="3092127"/>
                    </a:xfrm>
                    <a:prstGeom prst="rect"/>
                  </pic:spPr>
                </pic:pic>
              </a:graphicData>
            </a:graphic>
          </wp:inline>
        </w:drawing>
      </w:r>
    </w:p>
    <w:p>
      <w:pPr>
        <w:jc w:val="center"/>
      </w:pPr>
      <w:r>
        <w:rPr>
          <w:rFonts w:ascii="Calibri" w:hAnsi="Calibri"/>
          <w:i/>
          <w:color w:val="808080"/>
          <w:sz w:val="18"/>
        </w:rPr>
        <w:t>Figura 17. Ranking consolidado de los 10 factores con mayor impacto en la conversión, clasificados por tipo (campaña, demográfico, temporal, macro, indicador). La línea roja marca la media global de conversión.</w:t>
      </w:r>
    </w:p>
    <w:p>
      <w:pPr>
        <w:spacing w:before="120" w:after="120"/>
      </w:pPr>
    </w:p>
    <w:tbl>
      <w:tblPr>
        <w:tblStyle w:val="TableGrid"/>
        <w:tblW w:type="auto" w:w="0"/>
        <w:jc w:val="center"/>
        <w:tblLook w:firstColumn="1" w:firstRow="1" w:lastColumn="0" w:lastRow="0" w:noHBand="0" w:noVBand="1" w:val="04A0"/>
      </w:tblPr>
      <w:tblGrid>
        <w:gridCol w:w="1881"/>
        <w:gridCol w:w="1881"/>
        <w:gridCol w:w="1881"/>
        <w:gridCol w:w="1881"/>
        <w:gridCol w:w="1881"/>
      </w:tblGrid>
      <w:tr>
        <w:tc>
          <w:tcPr>
            <w:tcW w:type="dxa" w:w="1881"/>
            <w:shd w:fill="1F3864"/>
          </w:tcPr>
          <w:p>
            <w:pPr>
              <w:jc w:val="center"/>
            </w:pPr>
            <w:r/>
            <w:r>
              <w:rPr>
                <w:rFonts w:ascii="Calibri" w:hAnsi="Calibri"/>
                <w:b/>
                <w:i w:val="0"/>
                <w:color w:val="FFFFFF"/>
                <w:sz w:val="20"/>
              </w:rPr>
              <w:t>#</w:t>
            </w:r>
          </w:p>
        </w:tc>
        <w:tc>
          <w:tcPr>
            <w:tcW w:type="dxa" w:w="1881"/>
            <w:shd w:fill="1F3864"/>
          </w:tcPr>
          <w:p>
            <w:pPr>
              <w:jc w:val="center"/>
            </w:pPr>
            <w:r/>
            <w:r>
              <w:rPr>
                <w:rFonts w:ascii="Calibri" w:hAnsi="Calibri"/>
                <w:b/>
                <w:i w:val="0"/>
                <w:color w:val="FFFFFF"/>
                <w:sz w:val="20"/>
              </w:rPr>
              <w:t>Factor</w:t>
            </w:r>
          </w:p>
        </w:tc>
        <w:tc>
          <w:tcPr>
            <w:tcW w:type="dxa" w:w="1881"/>
            <w:shd w:fill="1F3864"/>
          </w:tcPr>
          <w:p>
            <w:pPr>
              <w:jc w:val="center"/>
            </w:pPr>
            <w:r/>
            <w:r>
              <w:rPr>
                <w:rFonts w:ascii="Calibri" w:hAnsi="Calibri"/>
                <w:b/>
                <w:i w:val="0"/>
                <w:color w:val="FFFFFF"/>
                <w:sz w:val="20"/>
              </w:rPr>
              <w:t>Conversión</w:t>
            </w:r>
          </w:p>
        </w:tc>
        <w:tc>
          <w:tcPr>
            <w:tcW w:type="dxa" w:w="1881"/>
            <w:shd w:fill="1F3864"/>
          </w:tcPr>
          <w:p>
            <w:pPr>
              <w:jc w:val="center"/>
            </w:pPr>
            <w:r/>
            <w:r>
              <w:rPr>
                <w:rFonts w:ascii="Calibri" w:hAnsi="Calibri"/>
                <w:b/>
                <w:i w:val="0"/>
                <w:color w:val="FFFFFF"/>
                <w:sz w:val="20"/>
              </w:rPr>
              <w:t>Tipo</w:t>
            </w:r>
          </w:p>
        </w:tc>
        <w:tc>
          <w:tcPr>
            <w:tcW w:type="dxa" w:w="1881"/>
            <w:shd w:fill="1F3864"/>
          </w:tcPr>
          <w:p>
            <w:pPr>
              <w:jc w:val="center"/>
            </w:pPr>
            <w:r/>
            <w:r>
              <w:rPr>
                <w:rFonts w:ascii="Calibri" w:hAnsi="Calibri"/>
                <w:b/>
                <w:i w:val="0"/>
                <w:color w:val="FFFFFF"/>
                <w:sz w:val="20"/>
              </w:rPr>
              <w:t>Celda</w:t>
            </w:r>
          </w:p>
        </w:tc>
      </w:tr>
      <w:tr>
        <w:tc>
          <w:tcPr>
            <w:tcW w:type="dxa" w:w="1881"/>
            <w:shd w:fill="F2F2F2"/>
          </w:tcPr>
          <w:p>
            <w:r/>
            <w:r>
              <w:rPr>
                <w:rFonts w:ascii="Calibri" w:hAnsi="Calibri"/>
                <w:b w:val="0"/>
                <w:i w:val="0"/>
                <w:color w:val="404040"/>
                <w:sz w:val="20"/>
              </w:rPr>
              <w:t>1</w:t>
            </w:r>
          </w:p>
        </w:tc>
        <w:tc>
          <w:tcPr>
            <w:tcW w:type="dxa" w:w="1881"/>
            <w:shd w:fill="F2F2F2"/>
          </w:tcPr>
          <w:p>
            <w:r/>
            <w:r>
              <w:rPr>
                <w:rFonts w:ascii="Calibri" w:hAnsi="Calibri"/>
                <w:b w:val="0"/>
                <w:i w:val="0"/>
                <w:color w:val="404040"/>
                <w:sz w:val="20"/>
              </w:rPr>
              <w:t>poutcome = success</w:t>
            </w:r>
          </w:p>
        </w:tc>
        <w:tc>
          <w:tcPr>
            <w:tcW w:type="dxa" w:w="1881"/>
            <w:shd w:fill="F2F2F2"/>
          </w:tcPr>
          <w:p>
            <w:r/>
            <w:r>
              <w:rPr>
                <w:rFonts w:ascii="Calibri" w:hAnsi="Calibri"/>
                <w:b w:val="0"/>
                <w:i w:val="0"/>
                <w:color w:val="404040"/>
                <w:sz w:val="20"/>
              </w:rPr>
              <w:t>64.91%</w:t>
            </w:r>
          </w:p>
        </w:tc>
        <w:tc>
          <w:tcPr>
            <w:tcW w:type="dxa" w:w="1881"/>
            <w:shd w:fill="F2F2F2"/>
          </w:tcPr>
          <w:p>
            <w:r/>
            <w:r>
              <w:rPr>
                <w:rFonts w:ascii="Calibri" w:hAnsi="Calibri"/>
                <w:b w:val="0"/>
                <w:i w:val="0"/>
                <w:color w:val="404040"/>
                <w:sz w:val="20"/>
              </w:rPr>
              <w:t>Campaña (historial)</w:t>
            </w:r>
          </w:p>
        </w:tc>
        <w:tc>
          <w:tcPr>
            <w:tcW w:type="dxa" w:w="1881"/>
            <w:shd w:fill="F2F2F2"/>
          </w:tcPr>
          <w:p>
            <w:r/>
            <w:r>
              <w:rPr>
                <w:rFonts w:ascii="Calibri" w:hAnsi="Calibri"/>
                <w:b w:val="0"/>
                <w:i w:val="0"/>
                <w:color w:val="404040"/>
                <w:sz w:val="20"/>
              </w:rPr>
              <w:t>20</w:t>
            </w:r>
          </w:p>
        </w:tc>
      </w:tr>
      <w:tr>
        <w:tc>
          <w:tcPr>
            <w:tcW w:type="dxa" w:w="1881"/>
          </w:tcPr>
          <w:p>
            <w:r/>
            <w:r>
              <w:rPr>
                <w:rFonts w:ascii="Calibri" w:hAnsi="Calibri"/>
                <w:b w:val="0"/>
                <w:i w:val="0"/>
                <w:color w:val="404040"/>
                <w:sz w:val="20"/>
              </w:rPr>
              <w:t>2</w:t>
            </w:r>
          </w:p>
        </w:tc>
        <w:tc>
          <w:tcPr>
            <w:tcW w:type="dxa" w:w="1881"/>
          </w:tcPr>
          <w:p>
            <w:r/>
            <w:r>
              <w:rPr>
                <w:rFonts w:ascii="Calibri" w:hAnsi="Calibri"/>
                <w:b w:val="0"/>
                <w:i w:val="0"/>
                <w:color w:val="404040"/>
                <w:sz w:val="20"/>
              </w:rPr>
              <w:t>Edad &gt; 60 años</w:t>
            </w:r>
          </w:p>
        </w:tc>
        <w:tc>
          <w:tcPr>
            <w:tcW w:type="dxa" w:w="1881"/>
          </w:tcPr>
          <w:p>
            <w:r/>
            <w:r>
              <w:rPr>
                <w:rFonts w:ascii="Calibri" w:hAnsi="Calibri"/>
                <w:b w:val="0"/>
                <w:i w:val="0"/>
                <w:color w:val="404040"/>
                <w:sz w:val="20"/>
              </w:rPr>
              <w:t>45.33%</w:t>
            </w:r>
          </w:p>
        </w:tc>
        <w:tc>
          <w:tcPr>
            <w:tcW w:type="dxa" w:w="1881"/>
          </w:tcPr>
          <w:p>
            <w:r/>
            <w:r>
              <w:rPr>
                <w:rFonts w:ascii="Calibri" w:hAnsi="Calibri"/>
                <w:b w:val="0"/>
                <w:i w:val="0"/>
                <w:color w:val="404040"/>
                <w:sz w:val="20"/>
              </w:rPr>
              <w:t>Demográfico</w:t>
            </w:r>
          </w:p>
        </w:tc>
        <w:tc>
          <w:tcPr>
            <w:tcW w:type="dxa" w:w="1881"/>
          </w:tcPr>
          <w:p>
            <w:r/>
            <w:r>
              <w:rPr>
                <w:rFonts w:ascii="Calibri" w:hAnsi="Calibri"/>
                <w:b w:val="0"/>
                <w:i w:val="0"/>
                <w:color w:val="404040"/>
                <w:sz w:val="20"/>
              </w:rPr>
              <w:t>16</w:t>
            </w:r>
          </w:p>
        </w:tc>
      </w:tr>
      <w:tr>
        <w:tc>
          <w:tcPr>
            <w:tcW w:type="dxa" w:w="1881"/>
            <w:shd w:fill="F2F2F2"/>
          </w:tcPr>
          <w:p>
            <w:r/>
            <w:r>
              <w:rPr>
                <w:rFonts w:ascii="Calibri" w:hAnsi="Calibri"/>
                <w:b w:val="0"/>
                <w:i w:val="0"/>
                <w:color w:val="404040"/>
                <w:sz w:val="20"/>
              </w:rPr>
              <w:t>3</w:t>
            </w:r>
          </w:p>
        </w:tc>
        <w:tc>
          <w:tcPr>
            <w:tcW w:type="dxa" w:w="1881"/>
            <w:shd w:fill="F2F2F2"/>
          </w:tcPr>
          <w:p>
            <w:r/>
            <w:r>
              <w:rPr>
                <w:rFonts w:ascii="Calibri" w:hAnsi="Calibri"/>
                <w:b w:val="0"/>
                <w:i w:val="0"/>
                <w:color w:val="404040"/>
                <w:sz w:val="20"/>
              </w:rPr>
              <w:t>Duración &gt; 21 min</w:t>
            </w:r>
          </w:p>
        </w:tc>
        <w:tc>
          <w:tcPr>
            <w:tcW w:type="dxa" w:w="1881"/>
            <w:shd w:fill="F2F2F2"/>
          </w:tcPr>
          <w:p>
            <w:r/>
            <w:r>
              <w:rPr>
                <w:rFonts w:ascii="Calibri" w:hAnsi="Calibri"/>
                <w:b w:val="0"/>
                <w:i w:val="0"/>
                <w:color w:val="404040"/>
                <w:sz w:val="20"/>
              </w:rPr>
              <w:t>63.25%</w:t>
            </w:r>
          </w:p>
        </w:tc>
        <w:tc>
          <w:tcPr>
            <w:tcW w:type="dxa" w:w="1881"/>
            <w:shd w:fill="F2F2F2"/>
          </w:tcPr>
          <w:p>
            <w:r/>
            <w:r>
              <w:rPr>
                <w:rFonts w:ascii="Calibri" w:hAnsi="Calibri"/>
                <w:b w:val="0"/>
                <w:i w:val="0"/>
                <w:color w:val="404040"/>
                <w:sz w:val="20"/>
              </w:rPr>
              <w:t>Indicador (post-facto)</w:t>
            </w:r>
          </w:p>
        </w:tc>
        <w:tc>
          <w:tcPr>
            <w:tcW w:type="dxa" w:w="1881"/>
            <w:shd w:fill="F2F2F2"/>
          </w:tcPr>
          <w:p>
            <w:r/>
            <w:r>
              <w:rPr>
                <w:rFonts w:ascii="Calibri" w:hAnsi="Calibri"/>
                <w:b w:val="0"/>
                <w:i w:val="0"/>
                <w:color w:val="404040"/>
                <w:sz w:val="20"/>
              </w:rPr>
              <w:t>18</w:t>
            </w:r>
          </w:p>
        </w:tc>
      </w:tr>
      <w:tr>
        <w:tc>
          <w:tcPr>
            <w:tcW w:type="dxa" w:w="1881"/>
          </w:tcPr>
          <w:p>
            <w:r/>
            <w:r>
              <w:rPr>
                <w:rFonts w:ascii="Calibri" w:hAnsi="Calibri"/>
                <w:b w:val="0"/>
                <w:i w:val="0"/>
                <w:color w:val="404040"/>
                <w:sz w:val="20"/>
              </w:rPr>
              <w:t>4</w:t>
            </w:r>
          </w:p>
        </w:tc>
        <w:tc>
          <w:tcPr>
            <w:tcW w:type="dxa" w:w="1881"/>
          </w:tcPr>
          <w:p>
            <w:r/>
            <w:r>
              <w:rPr>
                <w:rFonts w:ascii="Calibri" w:hAnsi="Calibri"/>
                <w:b w:val="0"/>
                <w:i w:val="0"/>
                <w:color w:val="404040"/>
                <w:sz w:val="20"/>
              </w:rPr>
              <w:t>Cliente recurrente (no nuevo)</w:t>
            </w:r>
          </w:p>
        </w:tc>
        <w:tc>
          <w:tcPr>
            <w:tcW w:type="dxa" w:w="1881"/>
          </w:tcPr>
          <w:p>
            <w:r/>
            <w:r>
              <w:rPr>
                <w:rFonts w:ascii="Calibri" w:hAnsi="Calibri"/>
                <w:b w:val="0"/>
                <w:i w:val="0"/>
                <w:color w:val="404040"/>
                <w:sz w:val="20"/>
              </w:rPr>
              <w:t>26.52%</w:t>
            </w:r>
          </w:p>
        </w:tc>
        <w:tc>
          <w:tcPr>
            <w:tcW w:type="dxa" w:w="1881"/>
          </w:tcPr>
          <w:p>
            <w:r/>
            <w:r>
              <w:rPr>
                <w:rFonts w:ascii="Calibri" w:hAnsi="Calibri"/>
                <w:b w:val="0"/>
                <w:i w:val="0"/>
                <w:color w:val="404040"/>
                <w:sz w:val="20"/>
              </w:rPr>
              <w:t>Campaña (historial)</w:t>
            </w:r>
          </w:p>
        </w:tc>
        <w:tc>
          <w:tcPr>
            <w:tcW w:type="dxa" w:w="1881"/>
          </w:tcPr>
          <w:p>
            <w:r/>
            <w:r>
              <w:rPr>
                <w:rFonts w:ascii="Calibri" w:hAnsi="Calibri"/>
                <w:b w:val="0"/>
                <w:i w:val="0"/>
                <w:color w:val="404040"/>
                <w:sz w:val="20"/>
              </w:rPr>
              <w:t>21</w:t>
            </w:r>
          </w:p>
        </w:tc>
      </w:tr>
      <w:tr>
        <w:tc>
          <w:tcPr>
            <w:tcW w:type="dxa" w:w="1881"/>
            <w:shd w:fill="F2F2F2"/>
          </w:tcPr>
          <w:p>
            <w:r/>
            <w:r>
              <w:rPr>
                <w:rFonts w:ascii="Calibri" w:hAnsi="Calibri"/>
                <w:b w:val="0"/>
                <w:i w:val="0"/>
                <w:color w:val="404040"/>
                <w:sz w:val="20"/>
              </w:rPr>
              <w:t>5</w:t>
            </w:r>
          </w:p>
        </w:tc>
        <w:tc>
          <w:tcPr>
            <w:tcW w:type="dxa" w:w="1881"/>
            <w:shd w:fill="F2F2F2"/>
          </w:tcPr>
          <w:p>
            <w:r/>
            <w:r>
              <w:rPr>
                <w:rFonts w:ascii="Calibri" w:hAnsi="Calibri"/>
                <w:b w:val="0"/>
                <w:i w:val="0"/>
                <w:color w:val="404040"/>
                <w:sz w:val="20"/>
              </w:rPr>
              <w:t>job = student</w:t>
            </w:r>
          </w:p>
        </w:tc>
        <w:tc>
          <w:tcPr>
            <w:tcW w:type="dxa" w:w="1881"/>
            <w:shd w:fill="F2F2F2"/>
          </w:tcPr>
          <w:p>
            <w:r/>
            <w:r>
              <w:rPr>
                <w:rFonts w:ascii="Calibri" w:hAnsi="Calibri"/>
                <w:b w:val="0"/>
                <w:i w:val="0"/>
                <w:color w:val="404040"/>
                <w:sz w:val="20"/>
              </w:rPr>
              <w:t>30.99%</w:t>
            </w:r>
          </w:p>
        </w:tc>
        <w:tc>
          <w:tcPr>
            <w:tcW w:type="dxa" w:w="1881"/>
            <w:shd w:fill="F2F2F2"/>
          </w:tcPr>
          <w:p>
            <w:r/>
            <w:r>
              <w:rPr>
                <w:rFonts w:ascii="Calibri" w:hAnsi="Calibri"/>
                <w:b w:val="0"/>
                <w:i w:val="0"/>
                <w:color w:val="404040"/>
                <w:sz w:val="20"/>
              </w:rPr>
              <w:t>Demográfico</w:t>
            </w:r>
          </w:p>
        </w:tc>
        <w:tc>
          <w:tcPr>
            <w:tcW w:type="dxa" w:w="1881"/>
            <w:shd w:fill="F2F2F2"/>
          </w:tcPr>
          <w:p>
            <w:r/>
            <w:r>
              <w:rPr>
                <w:rFonts w:ascii="Calibri" w:hAnsi="Calibri"/>
                <w:b w:val="0"/>
                <w:i w:val="0"/>
                <w:color w:val="404040"/>
                <w:sz w:val="20"/>
              </w:rPr>
              <w:t>30</w:t>
            </w:r>
          </w:p>
        </w:tc>
      </w:tr>
      <w:tr>
        <w:tc>
          <w:tcPr>
            <w:tcW w:type="dxa" w:w="1881"/>
          </w:tcPr>
          <w:p>
            <w:r/>
            <w:r>
              <w:rPr>
                <w:rFonts w:ascii="Calibri" w:hAnsi="Calibri"/>
                <w:b w:val="0"/>
                <w:i w:val="0"/>
                <w:color w:val="404040"/>
                <w:sz w:val="20"/>
              </w:rPr>
              <w:t>6</w:t>
            </w:r>
          </w:p>
        </w:tc>
        <w:tc>
          <w:tcPr>
            <w:tcW w:type="dxa" w:w="1881"/>
          </w:tcPr>
          <w:p>
            <w:r/>
            <w:r>
              <w:rPr>
                <w:rFonts w:ascii="Calibri" w:hAnsi="Calibri"/>
                <w:b w:val="0"/>
                <w:i w:val="0"/>
                <w:color w:val="404040"/>
                <w:sz w:val="20"/>
              </w:rPr>
              <w:t>job = retired</w:t>
            </w:r>
          </w:p>
        </w:tc>
        <w:tc>
          <w:tcPr>
            <w:tcW w:type="dxa" w:w="1881"/>
          </w:tcPr>
          <w:p>
            <w:r/>
            <w:r>
              <w:rPr>
                <w:rFonts w:ascii="Calibri" w:hAnsi="Calibri"/>
                <w:b w:val="0"/>
                <w:i w:val="0"/>
                <w:color w:val="404040"/>
                <w:sz w:val="20"/>
              </w:rPr>
              <w:t>25.33%</w:t>
            </w:r>
          </w:p>
        </w:tc>
        <w:tc>
          <w:tcPr>
            <w:tcW w:type="dxa" w:w="1881"/>
          </w:tcPr>
          <w:p>
            <w:r/>
            <w:r>
              <w:rPr>
                <w:rFonts w:ascii="Calibri" w:hAnsi="Calibri"/>
                <w:b w:val="0"/>
                <w:i w:val="0"/>
                <w:color w:val="404040"/>
                <w:sz w:val="20"/>
              </w:rPr>
              <w:t>Demográfico</w:t>
            </w:r>
          </w:p>
        </w:tc>
        <w:tc>
          <w:tcPr>
            <w:tcW w:type="dxa" w:w="1881"/>
          </w:tcPr>
          <w:p>
            <w:r/>
            <w:r>
              <w:rPr>
                <w:rFonts w:ascii="Calibri" w:hAnsi="Calibri"/>
                <w:b w:val="0"/>
                <w:i w:val="0"/>
                <w:color w:val="404040"/>
                <w:sz w:val="20"/>
              </w:rPr>
              <w:t>30</w:t>
            </w:r>
          </w:p>
        </w:tc>
      </w:tr>
      <w:tr>
        <w:tc>
          <w:tcPr>
            <w:tcW w:type="dxa" w:w="1881"/>
            <w:shd w:fill="F2F2F2"/>
          </w:tcPr>
          <w:p>
            <w:r/>
            <w:r>
              <w:rPr>
                <w:rFonts w:ascii="Calibri" w:hAnsi="Calibri"/>
                <w:b w:val="0"/>
                <w:i w:val="0"/>
                <w:color w:val="404040"/>
                <w:sz w:val="20"/>
              </w:rPr>
              <w:t>7</w:t>
            </w:r>
          </w:p>
        </w:tc>
        <w:tc>
          <w:tcPr>
            <w:tcW w:type="dxa" w:w="1881"/>
            <w:shd w:fill="F2F2F2"/>
          </w:tcPr>
          <w:p>
            <w:r/>
            <w:r>
              <w:rPr>
                <w:rFonts w:ascii="Calibri" w:hAnsi="Calibri"/>
                <w:b w:val="0"/>
                <w:i w:val="0"/>
                <w:color w:val="404040"/>
                <w:sz w:val="20"/>
              </w:rPr>
              <w:t>Euribor bajo + empleo bajo</w:t>
            </w:r>
          </w:p>
        </w:tc>
        <w:tc>
          <w:tcPr>
            <w:tcW w:type="dxa" w:w="1881"/>
            <w:shd w:fill="F2F2F2"/>
          </w:tcPr>
          <w:p>
            <w:r/>
            <w:r>
              <w:rPr>
                <w:rFonts w:ascii="Calibri" w:hAnsi="Calibri"/>
                <w:b w:val="0"/>
                <w:i w:val="0"/>
                <w:color w:val="404040"/>
                <w:sz w:val="20"/>
              </w:rPr>
              <w:t>Significativo</w:t>
            </w:r>
          </w:p>
        </w:tc>
        <w:tc>
          <w:tcPr>
            <w:tcW w:type="dxa" w:w="1881"/>
            <w:shd w:fill="F2F2F2"/>
          </w:tcPr>
          <w:p>
            <w:r/>
            <w:r>
              <w:rPr>
                <w:rFonts w:ascii="Calibri" w:hAnsi="Calibri"/>
                <w:b w:val="0"/>
                <w:i w:val="0"/>
                <w:color w:val="404040"/>
                <w:sz w:val="20"/>
              </w:rPr>
              <w:t>Macroeconómico</w:t>
            </w:r>
          </w:p>
        </w:tc>
        <w:tc>
          <w:tcPr>
            <w:tcW w:type="dxa" w:w="1881"/>
            <w:shd w:fill="F2F2F2"/>
          </w:tcPr>
          <w:p>
            <w:r/>
            <w:r>
              <w:rPr>
                <w:rFonts w:ascii="Calibri" w:hAnsi="Calibri"/>
                <w:b w:val="0"/>
                <w:i w:val="0"/>
                <w:color w:val="404040"/>
                <w:sz w:val="20"/>
              </w:rPr>
              <w:t>28</w:t>
            </w:r>
          </w:p>
        </w:tc>
      </w:tr>
      <w:tr>
        <w:tc>
          <w:tcPr>
            <w:tcW w:type="dxa" w:w="1881"/>
          </w:tcPr>
          <w:p>
            <w:r/>
            <w:r>
              <w:rPr>
                <w:rFonts w:ascii="Calibri" w:hAnsi="Calibri"/>
                <w:b w:val="0"/>
                <w:i w:val="0"/>
                <w:color w:val="404040"/>
                <w:sz w:val="20"/>
              </w:rPr>
              <w:t>8</w:t>
            </w:r>
          </w:p>
        </w:tc>
        <w:tc>
          <w:tcPr>
            <w:tcW w:type="dxa" w:w="1881"/>
          </w:tcPr>
          <w:p>
            <w:r/>
            <w:r>
              <w:rPr>
                <w:rFonts w:ascii="Calibri" w:hAnsi="Calibri"/>
                <w:b w:val="0"/>
                <w:i w:val="0"/>
                <w:color w:val="404040"/>
                <w:sz w:val="20"/>
              </w:rPr>
              <w:t>contact = cellular</w:t>
            </w:r>
          </w:p>
        </w:tc>
        <w:tc>
          <w:tcPr>
            <w:tcW w:type="dxa" w:w="1881"/>
          </w:tcPr>
          <w:p>
            <w:r/>
            <w:r>
              <w:rPr>
                <w:rFonts w:ascii="Calibri" w:hAnsi="Calibri"/>
                <w:b w:val="0"/>
                <w:i w:val="0"/>
                <w:color w:val="404040"/>
                <w:sz w:val="20"/>
              </w:rPr>
              <w:t>14.70%</w:t>
            </w:r>
          </w:p>
        </w:tc>
        <w:tc>
          <w:tcPr>
            <w:tcW w:type="dxa" w:w="1881"/>
          </w:tcPr>
          <w:p>
            <w:r/>
            <w:r>
              <w:rPr>
                <w:rFonts w:ascii="Calibri" w:hAnsi="Calibri"/>
                <w:b w:val="0"/>
                <w:i w:val="0"/>
                <w:color w:val="404040"/>
                <w:sz w:val="20"/>
              </w:rPr>
              <w:t>Campaña (canal)</w:t>
            </w:r>
          </w:p>
        </w:tc>
        <w:tc>
          <w:tcPr>
            <w:tcW w:type="dxa" w:w="1881"/>
          </w:tcPr>
          <w:p>
            <w:r/>
            <w:r>
              <w:rPr>
                <w:rFonts w:ascii="Calibri" w:hAnsi="Calibri"/>
                <w:b w:val="0"/>
                <w:i w:val="0"/>
                <w:color w:val="404040"/>
                <w:sz w:val="20"/>
              </w:rPr>
              <w:t>35</w:t>
            </w:r>
          </w:p>
        </w:tc>
      </w:tr>
      <w:tr>
        <w:tc>
          <w:tcPr>
            <w:tcW w:type="dxa" w:w="1881"/>
            <w:shd w:fill="F2F2F2"/>
          </w:tcPr>
          <w:p>
            <w:r/>
            <w:r>
              <w:rPr>
                <w:rFonts w:ascii="Calibri" w:hAnsi="Calibri"/>
                <w:b w:val="0"/>
                <w:i w:val="0"/>
                <w:color w:val="404040"/>
                <w:sz w:val="20"/>
              </w:rPr>
              <w:t>9</w:t>
            </w:r>
          </w:p>
        </w:tc>
        <w:tc>
          <w:tcPr>
            <w:tcW w:type="dxa" w:w="1881"/>
            <w:shd w:fill="F2F2F2"/>
          </w:tcPr>
          <w:p>
            <w:r/>
            <w:r>
              <w:rPr>
                <w:rFonts w:ascii="Calibri" w:hAnsi="Calibri"/>
                <w:b w:val="0"/>
                <w:i w:val="0"/>
                <w:color w:val="404040"/>
                <w:sz w:val="20"/>
              </w:rPr>
              <w:t>education = undisclosed</w:t>
            </w:r>
          </w:p>
        </w:tc>
        <w:tc>
          <w:tcPr>
            <w:tcW w:type="dxa" w:w="1881"/>
            <w:shd w:fill="F2F2F2"/>
          </w:tcPr>
          <w:p>
            <w:r/>
            <w:r>
              <w:rPr>
                <w:rFonts w:ascii="Calibri" w:hAnsi="Calibri"/>
                <w:b w:val="0"/>
                <w:i w:val="0"/>
                <w:color w:val="404040"/>
                <w:sz w:val="20"/>
              </w:rPr>
              <w:t>14.56%</w:t>
            </w:r>
          </w:p>
        </w:tc>
        <w:tc>
          <w:tcPr>
            <w:tcW w:type="dxa" w:w="1881"/>
            <w:shd w:fill="F2F2F2"/>
          </w:tcPr>
          <w:p>
            <w:r/>
            <w:r>
              <w:rPr>
                <w:rFonts w:ascii="Calibri" w:hAnsi="Calibri"/>
                <w:b w:val="0"/>
                <w:i w:val="0"/>
                <w:color w:val="404040"/>
                <w:sz w:val="20"/>
              </w:rPr>
              <w:t>Demográfico</w:t>
            </w:r>
          </w:p>
        </w:tc>
        <w:tc>
          <w:tcPr>
            <w:tcW w:type="dxa" w:w="1881"/>
            <w:shd w:fill="F2F2F2"/>
          </w:tcPr>
          <w:p>
            <w:r/>
            <w:r>
              <w:rPr>
                <w:rFonts w:ascii="Calibri" w:hAnsi="Calibri"/>
                <w:b w:val="0"/>
                <w:i w:val="0"/>
                <w:color w:val="404040"/>
                <w:sz w:val="20"/>
              </w:rPr>
              <w:t>32</w:t>
            </w:r>
          </w:p>
        </w:tc>
      </w:tr>
      <w:tr>
        <w:tc>
          <w:tcPr>
            <w:tcW w:type="dxa" w:w="1881"/>
          </w:tcPr>
          <w:p>
            <w:r/>
            <w:r>
              <w:rPr>
                <w:rFonts w:ascii="Calibri" w:hAnsi="Calibri"/>
                <w:b w:val="0"/>
                <w:i w:val="0"/>
                <w:color w:val="404040"/>
                <w:sz w:val="20"/>
              </w:rPr>
              <w:t>10</w:t>
            </w:r>
          </w:p>
        </w:tc>
        <w:tc>
          <w:tcPr>
            <w:tcW w:type="dxa" w:w="1881"/>
          </w:tcPr>
          <w:p>
            <w:r/>
            <w:r>
              <w:rPr>
                <w:rFonts w:ascii="Calibri" w:hAnsi="Calibri"/>
                <w:b w:val="0"/>
                <w:i w:val="0"/>
                <w:color w:val="404040"/>
                <w:sz w:val="20"/>
              </w:rPr>
              <w:t>contact_attempts ≤ 3</w:t>
            </w:r>
          </w:p>
        </w:tc>
        <w:tc>
          <w:tcPr>
            <w:tcW w:type="dxa" w:w="1881"/>
          </w:tcPr>
          <w:p>
            <w:r/>
            <w:r>
              <w:rPr>
                <w:rFonts w:ascii="Calibri" w:hAnsi="Calibri"/>
                <w:b w:val="0"/>
                <w:i w:val="0"/>
                <w:color w:val="404040"/>
                <w:sz w:val="20"/>
              </w:rPr>
              <w:t>12.17%</w:t>
            </w:r>
          </w:p>
        </w:tc>
        <w:tc>
          <w:tcPr>
            <w:tcW w:type="dxa" w:w="1881"/>
          </w:tcPr>
          <w:p>
            <w:r/>
            <w:r>
              <w:rPr>
                <w:rFonts w:ascii="Calibri" w:hAnsi="Calibri"/>
                <w:b w:val="0"/>
                <w:i w:val="0"/>
                <w:color w:val="404040"/>
                <w:sz w:val="20"/>
              </w:rPr>
              <w:t>Campaña (saturación)</w:t>
            </w:r>
          </w:p>
        </w:tc>
        <w:tc>
          <w:tcPr>
            <w:tcW w:type="dxa" w:w="1881"/>
          </w:tcPr>
          <w:p>
            <w:r/>
            <w:r>
              <w:rPr>
                <w:rFonts w:ascii="Calibri" w:hAnsi="Calibri"/>
                <w:b w:val="0"/>
                <w:i w:val="0"/>
                <w:color w:val="404040"/>
                <w:sz w:val="20"/>
              </w:rPr>
              <w:t>22</w:t>
            </w:r>
          </w:p>
        </w:tc>
      </w:tr>
    </w:tbl>
    <w:p>
      <w:pPr>
        <w:spacing w:after="120"/>
      </w:pPr>
      <w:r>
        <w:rPr>
          <w:rFonts w:ascii="Calibri" w:hAnsi="Calibri"/>
          <w:b w:val="0"/>
          <w:i w:val="0"/>
          <w:color w:val="404040"/>
          <w:sz w:val="22"/>
        </w:rPr>
      </w:r>
    </w:p>
    <w:p>
      <w:pPr>
        <w:spacing w:after="120"/>
      </w:pPr>
      <w:r>
        <w:rPr>
          <w:rFonts w:ascii="Calibri" w:hAnsi="Calibri"/>
          <w:b w:val="0"/>
          <w:i/>
          <w:color w:val="404040"/>
          <w:sz w:val="22"/>
        </w:rPr>
        <w:t>Lectura del ranking: Los factores de campaña (historial previo, canal de contacto, saturación) tienen mayor poder predictivo que los factores demográficos, lo que indica que la estrategia de ejecución de la campaña es más determinante que el perfil intrínseco del cliente.</w:t>
      </w:r>
    </w:p>
    <w:p>
      <w:pPr>
        <w:pStyle w:val="Heading1"/>
      </w:pPr>
      <w:r>
        <w:rPr>
          <w:rFonts w:ascii="Calibri" w:hAnsi="Calibri"/>
          <w:color w:val="1F3864"/>
        </w:rPr>
        <w:t>11. Conclusiones y Recomendaciones Estratégicas</w:t>
      </w:r>
    </w:p>
    <w:p>
      <w:pPr>
        <w:pStyle w:val="Heading2"/>
      </w:pPr>
      <w:r>
        <w:rPr>
          <w:rFonts w:ascii="Calibri" w:hAnsi="Calibri"/>
          <w:color w:val="1F3864"/>
        </w:rPr>
        <w:t>Conclusiones</w:t>
      </w:r>
    </w:p>
    <w:p>
      <w:pPr>
        <w:pStyle w:val="ListBullet"/>
      </w:pPr>
      <w:r>
        <w:rPr>
          <w:rFonts w:ascii="Calibri" w:hAnsi="Calibri"/>
          <w:b w:val="0"/>
          <w:i w:val="0"/>
          <w:color w:val="404040"/>
          <w:sz w:val="22"/>
        </w:rPr>
        <w:t>El predictor más poderoso es el resultado de campañas anteriores: poutcome=success genera un 64.91% de conversión, 7× más que los clientes nuevos.</w:t>
      </w:r>
    </w:p>
    <w:p>
      <w:pPr>
        <w:pStyle w:val="ListBullet"/>
      </w:pPr>
      <w:r>
        <w:rPr>
          <w:rFonts w:ascii="Calibri" w:hAnsi="Calibri"/>
          <w:b w:val="0"/>
          <w:i w:val="0"/>
          <w:color w:val="404040"/>
          <w:sz w:val="22"/>
        </w:rPr>
        <w:t>El contexto macroeconómico modula significativamente la receptividad: los depósitos se contratan más en periodos de euribor bajo y empleo en descenso, funcionando como refugio seguro para el ahorro.</w:t>
      </w:r>
    </w:p>
    <w:p>
      <w:pPr>
        <w:pStyle w:val="ListBullet"/>
      </w:pPr>
      <w:r>
        <w:rPr>
          <w:rFonts w:ascii="Calibri" w:hAnsi="Calibri"/>
          <w:b w:val="0"/>
          <w:i w:val="0"/>
          <w:color w:val="404040"/>
          <w:sz w:val="22"/>
        </w:rPr>
        <w:t>Existe un punto de saturación claro en 3 contactos: más allá, la conversión cae de 12.17% a 7.36%.</w:t>
      </w:r>
    </w:p>
    <w:p>
      <w:pPr>
        <w:pStyle w:val="ListBullet"/>
      </w:pPr>
      <w:r>
        <w:rPr>
          <w:rFonts w:ascii="Calibri" w:hAnsi="Calibri"/>
          <w:b w:val="0"/>
          <w:i w:val="0"/>
          <w:color w:val="404040"/>
          <w:sz w:val="22"/>
        </w:rPr>
        <w:t>El canal celular convierte 2.8× más que el teléfono fijo (14.70% vs 5.28%).</w:t>
      </w:r>
    </w:p>
    <w:p>
      <w:pPr>
        <w:pStyle w:val="ListBullet"/>
      </w:pPr>
      <w:r>
        <w:rPr>
          <w:rFonts w:ascii="Calibri" w:hAnsi="Calibri"/>
          <w:b w:val="0"/>
          <w:i w:val="0"/>
          <w:color w:val="404040"/>
          <w:sz w:val="22"/>
        </w:rPr>
        <w:t>La duración de la llamada es el mejor indicador de interés del cliente: 63.25% de conversión en llamadas de 21+ minutos, pero no es utilizable como predictor a priori.</w:t>
      </w:r>
    </w:p>
    <w:p>
      <w:pPr>
        <w:pStyle w:val="ListBullet"/>
      </w:pPr>
      <w:r>
        <w:rPr>
          <w:rFonts w:ascii="Calibri" w:hAnsi="Calibri"/>
          <w:b w:val="0"/>
          <w:i w:val="0"/>
          <w:color w:val="404040"/>
          <w:sz w:val="22"/>
        </w:rPr>
        <w:t>Los estudiantes (30.99%) y jubilados (25.33%) son los segmentos con mayor propensión a contratar, pese a ser minority del dataset.</w:t>
      </w:r>
    </w:p>
    <w:p>
      <w:pPr>
        <w:pStyle w:val="ListBullet"/>
      </w:pPr>
      <w:r>
        <w:rPr>
          <w:rFonts w:ascii="Calibri" w:hAnsi="Calibri"/>
          <w:b w:val="0"/>
          <w:i w:val="0"/>
          <w:color w:val="404040"/>
          <w:sz w:val="22"/>
        </w:rPr>
        <w:t>Los mayores de 60 años muestran la conversión demográfica más alta (45.33%), aunque representan solo el 2.2% del dataset.</w:t>
      </w:r>
    </w:p>
    <w:p>
      <w:pPr>
        <w:pStyle w:val="ListBullet"/>
      </w:pPr>
      <w:r>
        <w:rPr>
          <w:rFonts w:ascii="Calibri" w:hAnsi="Calibri"/>
          <w:b w:val="0"/>
          <w:i w:val="0"/>
          <w:color w:val="404040"/>
          <w:sz w:val="22"/>
        </w:rPr>
        <w:t>Los valores "undisclosed" (ex-unknowns) no son ruido: credit_default=undisclosed tiene comportamiento estadísticamente diferenciado (5.16% vs 12.89%), confirmando que contienen información predictiva.</w:t>
      </w:r>
    </w:p>
    <w:p>
      <w:pPr>
        <w:pStyle w:val="ListBullet"/>
      </w:pPr>
      <w:r>
        <w:rPr>
          <w:rFonts w:ascii="Calibri" w:hAnsi="Calibri"/>
          <w:b w:val="0"/>
          <w:i w:val="0"/>
          <w:color w:val="404040"/>
          <w:sz w:val="22"/>
        </w:rPr>
        <w:t>El dataset presenta un desbalance de clases de 7.87:1 que deberá ser tratado en la fase de modelado.</w:t>
      </w:r>
    </w:p>
    <w:p>
      <w:pPr>
        <w:pStyle w:val="Heading2"/>
      </w:pPr>
      <w:r>
        <w:rPr>
          <w:rFonts w:ascii="Calibri" w:hAnsi="Calibri"/>
          <w:color w:val="1F3864"/>
        </w:rPr>
        <w:t>Recomendaciones Estratégicas</w:t>
      </w:r>
    </w:p>
    <w:p>
      <w:pPr>
        <w:spacing w:after="120"/>
      </w:pPr>
      <w:r>
        <w:rPr>
          <w:rFonts w:ascii="Calibri" w:hAnsi="Calibri"/>
          <w:b w:val="0"/>
          <w:i w:val="0"/>
          <w:color w:val="404040"/>
          <w:sz w:val="22"/>
        </w:rPr>
        <w:t>Con base en los hallazgos de las Tareas 1 y 2, se formulan las siguientes recomendaciones para optimizar futuras campañas:</w:t>
      </w:r>
    </w:p>
    <w:p>
      <w:pPr>
        <w:spacing w:after="120"/>
      </w:pPr>
      <w:r>
        <w:rPr>
          <w:rFonts w:ascii="Calibri" w:hAnsi="Calibri"/>
          <w:b/>
          <w:i w:val="0"/>
          <w:color w:val="404040"/>
          <w:sz w:val="22"/>
        </w:rPr>
        <w:t>1. Priorizar clientes con historial exitoso:</w:t>
      </w:r>
    </w:p>
    <w:p>
      <w:pPr>
        <w:spacing w:after="120"/>
      </w:pPr>
      <w:r>
        <w:rPr>
          <w:rFonts w:ascii="Calibri" w:hAnsi="Calibri"/>
          <w:b w:val="0"/>
          <w:i w:val="0"/>
          <w:color w:val="404040"/>
          <w:sz w:val="22"/>
        </w:rPr>
        <w:t>Los clientes con poutcome=success convierten al 64.91%. Se recomienda crear una "lista dorada" de re-contactación prioritaria antes de invertir en leads nuevos.</w:t>
      </w:r>
    </w:p>
    <w:p>
      <w:pPr>
        <w:spacing w:after="120"/>
      </w:pPr>
      <w:r>
        <w:rPr>
          <w:rFonts w:ascii="Calibri" w:hAnsi="Calibri"/>
          <w:b/>
          <w:i w:val="0"/>
          <w:color w:val="404040"/>
          <w:sz w:val="22"/>
        </w:rPr>
        <w:t>2. Limitar a 3 intentos de contacto por cliente:</w:t>
      </w:r>
    </w:p>
    <w:p>
      <w:pPr>
        <w:spacing w:after="120"/>
      </w:pPr>
      <w:r>
        <w:rPr>
          <w:rFonts w:ascii="Calibri" w:hAnsi="Calibri"/>
          <w:b w:val="0"/>
          <w:i w:val="0"/>
          <w:color w:val="404040"/>
          <w:sz w:val="22"/>
        </w:rPr>
        <w:t>Después de 3 contactos, la conversión cae 5 puntos porcentuales. Se recomienda implementar una regla de negocio que limite los intentos y reasigne el esfuerzo a leads frescos.</w:t>
      </w:r>
    </w:p>
    <w:p>
      <w:pPr>
        <w:spacing w:after="120"/>
      </w:pPr>
      <w:r>
        <w:rPr>
          <w:rFonts w:ascii="Calibri" w:hAnsi="Calibri"/>
          <w:b/>
          <w:i w:val="0"/>
          <w:color w:val="404040"/>
          <w:sz w:val="22"/>
        </w:rPr>
        <w:t>3. Usar celular como canal preferido:</w:t>
      </w:r>
    </w:p>
    <w:p>
      <w:pPr>
        <w:spacing w:after="120"/>
      </w:pPr>
      <w:r>
        <w:rPr>
          <w:rFonts w:ascii="Calibri" w:hAnsi="Calibri"/>
          <w:b w:val="0"/>
          <w:i w:val="0"/>
          <w:color w:val="404040"/>
          <w:sz w:val="22"/>
        </w:rPr>
        <w:t>El celular convierte 2.8× más que el fijo. Reservar el teléfono fijo solo para clientes sin celular registrado.</w:t>
      </w:r>
    </w:p>
    <w:p>
      <w:pPr>
        <w:spacing w:after="120"/>
      </w:pPr>
      <w:r>
        <w:rPr>
          <w:rFonts w:ascii="Calibri" w:hAnsi="Calibri"/>
          <w:b/>
          <w:i w:val="0"/>
          <w:color w:val="404040"/>
          <w:sz w:val="22"/>
        </w:rPr>
        <w:t>4. Redistribuir el esfuerzo de mayo:</w:t>
      </w:r>
    </w:p>
    <w:p>
      <w:pPr>
        <w:spacing w:after="120"/>
      </w:pPr>
      <w:r>
        <w:rPr>
          <w:rFonts w:ascii="Calibri" w:hAnsi="Calibri"/>
          <w:b w:val="0"/>
          <w:i w:val="0"/>
          <w:color w:val="404040"/>
          <w:sz w:val="22"/>
        </w:rPr>
        <w:t>Mayo concentra el 33% de contactos con solo 6.47% de conversión. Redirigir parte de esa carga hacia septiembre, octubre y marzo (conversiones &gt;40%).</w:t>
      </w:r>
    </w:p>
    <w:p>
      <w:pPr>
        <w:spacing w:after="120"/>
      </w:pPr>
      <w:r>
        <w:rPr>
          <w:rFonts w:ascii="Calibri" w:hAnsi="Calibri"/>
          <w:b/>
          <w:i w:val="0"/>
          <w:color w:val="404040"/>
          <w:sz w:val="22"/>
        </w:rPr>
        <w:t>5. Segmentar para estudiantes y jubilados:</w:t>
      </w:r>
    </w:p>
    <w:p>
      <w:pPr>
        <w:spacing w:after="120"/>
      </w:pPr>
      <w:r>
        <w:rPr>
          <w:rFonts w:ascii="Calibri" w:hAnsi="Calibri"/>
          <w:b w:val="0"/>
          <w:i w:val="0"/>
          <w:color w:val="404040"/>
          <w:sz w:val="22"/>
        </w:rPr>
        <w:t>Diseñar ofertas y scripts específicos para estos perfiles que convierten 3-4× por encima de la media.</w:t>
      </w:r>
    </w:p>
    <w:p>
      <w:pPr>
        <w:spacing w:after="120"/>
      </w:pPr>
      <w:r>
        <w:rPr>
          <w:rFonts w:ascii="Calibri" w:hAnsi="Calibri"/>
          <w:b/>
          <w:i w:val="0"/>
          <w:color w:val="404040"/>
          <w:sz w:val="22"/>
        </w:rPr>
        <w:t>6. Segmentar para mayores de 60:</w:t>
      </w:r>
    </w:p>
    <w:p>
      <w:pPr>
        <w:spacing w:after="120"/>
      </w:pPr>
      <w:r>
        <w:rPr>
          <w:rFonts w:ascii="Calibri" w:hAnsi="Calibri"/>
          <w:b w:val="0"/>
          <w:i w:val="0"/>
          <w:color w:val="404040"/>
          <w:sz w:val="22"/>
        </w:rPr>
        <w:t>Con 45.33% de conversión, este micro-segmento tiene el mayor potencial demográfico. Considerar campañas dedicadas con productos ajustados a su perfil de riesgo.</w:t>
      </w:r>
    </w:p>
    <w:p>
      <w:pPr>
        <w:spacing w:after="120"/>
      </w:pPr>
      <w:r>
        <w:rPr>
          <w:rFonts w:ascii="Calibri" w:hAnsi="Calibri"/>
          <w:b/>
          <w:i w:val="0"/>
          <w:color w:val="404040"/>
          <w:sz w:val="22"/>
        </w:rPr>
        <w:t>7. Aprovechar ciclos macroeconómicos:</w:t>
      </w:r>
    </w:p>
    <w:p>
      <w:pPr>
        <w:spacing w:after="120"/>
      </w:pPr>
      <w:r>
        <w:rPr>
          <w:rFonts w:ascii="Calibri" w:hAnsi="Calibri"/>
          <w:b w:val="0"/>
          <w:i w:val="0"/>
          <w:color w:val="404040"/>
          <w:sz w:val="22"/>
        </w:rPr>
        <w:t>Lanzar campañas agresivas de depósitos en periodos de euribor bajo e incertidumbre laboral, cuando los clientes buscan refugio seguro.</w:t>
      </w:r>
    </w:p>
    <w:p>
      <w:pPr>
        <w:spacing w:after="120"/>
      </w:pPr>
      <w:r>
        <w:rPr>
          <w:rFonts w:ascii="Calibri" w:hAnsi="Calibri"/>
          <w:b/>
          <w:i w:val="0"/>
          <w:color w:val="404040"/>
          <w:sz w:val="22"/>
        </w:rPr>
        <w:t>8. Formar a los agentes para extender conversaciones productivas:</w:t>
      </w:r>
    </w:p>
    <w:p>
      <w:pPr>
        <w:spacing w:after="120"/>
      </w:pPr>
      <w:r>
        <w:rPr>
          <w:rFonts w:ascii="Calibri" w:hAnsi="Calibri"/>
          <w:b w:val="0"/>
          <w:i w:val="0"/>
          <w:color w:val="404040"/>
          <w:sz w:val="22"/>
        </w:rPr>
        <w:t>Las llamadas más largas correlacionan con mayor éxito (63.25% en 21+ min). Invertir en scripts de venta que generen engagement y confianza desde los primeros minutos.</w:t>
      </w:r>
    </w:p>
    <w:p/>
    <w:p>
      <w:pPr>
        <w:jc w:val="center"/>
      </w:pPr>
      <w:r>
        <w:rPr>
          <w:rFonts w:ascii="Calibri" w:hAnsi="Calibri"/>
          <w:b w:val="0"/>
          <w:i w:val="0"/>
          <w:color w:val="2E75B6"/>
          <w:sz w:val="24"/>
        </w:rPr>
        <w:t>━━━━━━━━━━━━━━━━━━━━━━━━━━━━━━━━━━━━━━━━━━━━━━━━━━</w:t>
      </w:r>
    </w:p>
    <w:p/>
    <w:p>
      <w:pPr>
        <w:jc w:val="center"/>
      </w:pPr>
      <w:r>
        <w:rPr>
          <w:rFonts w:ascii="Calibri" w:hAnsi="Calibri"/>
          <w:b w:val="0"/>
          <w:i/>
          <w:color w:val="808080"/>
          <w:sz w:val="20"/>
        </w:rPr>
        <w:t>Informe elaborado como parte del Trabajo Final de Máster</w:t>
      </w:r>
    </w:p>
    <w:p>
      <w:pPr>
        <w:jc w:val="center"/>
      </w:pPr>
      <w:r>
        <w:rPr>
          <w:rFonts w:ascii="Calibri" w:hAnsi="Calibri"/>
          <w:b w:val="0"/>
          <w:i/>
          <w:color w:val="808080"/>
          <w:sz w:val="20"/>
        </w:rPr>
        <w:t>Nuclio Digital School — Marzo 2026</w:t>
      </w:r>
    </w:p>
    <w:p>
      <w:pPr>
        <w:jc w:val="center"/>
      </w:pPr>
      <w:r>
        <w:rPr>
          <w:rFonts w:ascii="Calibri" w:hAnsi="Calibri"/>
          <w:b/>
          <w:i w:val="0"/>
          <w:color w:val="404040"/>
          <w:sz w:val="20"/>
        </w:rPr>
        <w:t>Autores: Jesús &amp; Diego</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