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478A"/>
          <w:sz w:val="44"/>
        </w:rPr>
        <w:t>Tarea 1 — Resumen de Hallazgos</w:t>
      </w:r>
    </w:p>
    <w:p>
      <w:pPr>
        <w:jc w:val="center"/>
      </w:pPr>
      <w:r>
        <w:rPr>
          <w:color w:val="666666"/>
          <w:sz w:val="24"/>
        </w:rPr>
        <w:t>Marketing Analytics Fintech — TFM</w:t>
        <w:br/>
        <w:t>Marzo 2026</w:t>
      </w:r>
    </w:p>
    <w:p/>
    <w:p>
      <w:pPr>
        <w:pStyle w:val="Heading1"/>
      </w:pPr>
      <w:r>
        <w:t>Contexto</w:t>
      </w:r>
    </w:p>
    <w:p>
      <w:r>
        <w:t>Se analizaron 41.188 registros de campanas de telemarketing de un banco portugues (2018-2020). El objetivo: entender que factores hacen que un cliente contrate un deposito a plazo. Solo el 11.27% de los clientes contrataron (4.640 de 41.188).</w:t>
      </w:r>
    </w:p>
    <w:p>
      <w:pPr>
        <w:pStyle w:val="Heading1"/>
      </w:pPr>
      <w:r>
        <w:t>Los 10 Factores que Mas Importan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Factor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Conversion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Por que importa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Exito en campana anterior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65.11%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El mejor predictor absoluto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Contactado previamente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63.83%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vs 9.26% en nuevos clientes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Llamada &gt; 20 min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62.33%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Indica alto interes (no predictor)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Contexto macro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p=0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Euribor bajo = mas contrataciones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Estudiante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31.54%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3x la media global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Jubilado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25.23%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Perfil con ahorros disponibles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Edad &gt; 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19.41%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Patron en U: jovenes y mayores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Contacto por celular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14.74%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2.8x mejor que telefono fijo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Educacion no declarada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14.50%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Unknown valioso, no ruido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Maximo 3 contactos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12.17%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Despues de 3 cae a 7.27%</w:t>
            </w:r>
          </w:p>
        </w:tc>
      </w:tr>
    </w:tbl>
    <w:p/>
    <w:p>
      <w:pPr>
        <w:pStyle w:val="Heading1"/>
      </w:pPr>
      <w:r>
        <w:t>Unknowns: No Son Datos Faltantes</w:t>
      </w:r>
    </w:p>
    <w:p>
      <w:r>
        <w:t>El 30% del dataset tiene al menos un valor "unknown". En vez de eliminarlos, descubrimos que son perfiles reales con comportamiento propio: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Unknown pasa a ser...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Conv.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Nota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default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no_credit_record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5.15%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Mitad que "no" — son conservadores sin historial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education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undisclosed_education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14.50%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Convierten por ENCIMA de la media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job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undeclared_occupation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11.21%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En la media global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marital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undisclosed_status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15.00%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Pocos casos pero alta conversion</w:t>
            </w:r>
          </w:p>
        </w:tc>
      </w:tr>
    </w:tbl>
    <w:p/>
    <w:p>
      <w:pPr>
        <w:pStyle w:val="Heading1"/>
      </w:pPr>
      <w:r>
        <w:t>Patron Macroeconomico</w:t>
      </w:r>
    </w:p>
    <w:p>
      <w:r>
        <w:t>Las 5 variables macroeconomicas son significativas. El patron es claro: los depositos a plazo se contratan MAS en periodos de incertidumbre (euribor bajo, empleo en descenso). Esto tiene sentido economico: los depositos son un refugio seguro cuando el mercado es inestable.</w:t>
      </w:r>
    </w:p>
    <w:p>
      <w:pPr>
        <w:pStyle w:val="Heading1"/>
      </w:pPr>
      <w:r>
        <w:t>Para Tener en Cuenta en el Modelo</w:t>
      </w:r>
    </w:p>
    <w:p>
      <w:pPr>
        <w:pStyle w:val="ListBullet"/>
      </w:pPr>
      <w:r>
        <w:t>Desbalance de clases 7.88:1 — usar SMOTE o class_weight</w:t>
      </w:r>
    </w:p>
    <w:p>
      <w:pPr>
        <w:pStyle w:val="ListBullet"/>
      </w:pPr>
      <w:r>
        <w:t>emp.var.rate, euribor3m y nr.employed son la misma variable (r&gt;0.90) — usar solo 1</w:t>
      </w:r>
    </w:p>
    <w:p>
      <w:pPr>
        <w:pStyle w:val="ListBullet"/>
      </w:pPr>
      <w:r>
        <w:t>NO incluir duration como predictor (solo se conoce despues de la llamada)</w:t>
      </w:r>
    </w:p>
    <w:p>
      <w:pPr>
        <w:pStyle w:val="ListBullet"/>
      </w:pPr>
      <w:r>
        <w:t>Usar los nombres semanticos de unknowns como categorias propias</w:t>
      </w:r>
    </w:p>
    <w:p>
      <w:pPr>
        <w:pStyle w:val="ListBullet"/>
      </w:pPr>
      <w:r>
        <w:t>poutcome=success es el mejor predictor — crear feature has_previous_success</w:t>
      </w:r>
    </w:p>
    <w:p>
      <w:pPr>
        <w:pStyle w:val="Heading1"/>
      </w:pPr>
      <w:r>
        <w:t>Conclusion</w:t>
      </w:r>
    </w:p>
    <w:p>
      <w:r>
        <w:t>La Tarea 1 revela que el exito de la campana depende principalmente de: (1) el historial previo del cliente, (2) el contexto macroeconomico, (3) el perfil demografico y (4) la estrategia de contacto (metodo, frecuencia, timing). Estos hallazgos guiaran la construccion del modelo predictivo en la Tarea 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478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47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478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