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48"/>
          <w:szCs w:val="48"/>
          <w:rtl w:val="0"/>
        </w:rPr>
        <w:t xml:space="preserve">Aplicaciones de la Arquitectura Transformer al Pronóstico y Procesamiento de Lenguaje Natural </w:t>
      </w: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Diego Iván Perea Montealegre, Carlos Ivan Osorio Moreno, Gabriel Jeannot Viaña, Samir Hassan Ordóñez</w:t>
      </w:r>
    </w:p>
    <w:p w:rsidR="00000000" w:rsidDel="00000000" w:rsidP="00000000" w:rsidRDefault="00000000" w:rsidRPr="00000000" w14:paraId="00000003">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Facultad de Ingeniería, Universidad Autónoma de Occidente</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Cali, Colombia</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sectPr>
          <w:headerReference r:id="rId7" w:type="default"/>
          <w:pgSz w:h="15840" w:w="12240" w:orient="portrait"/>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006">
      <w:pPr>
        <w:ind w:firstLine="72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Resumen : </w:t>
      </w:r>
      <w:r w:rsidDel="00000000" w:rsidR="00000000" w:rsidRPr="00000000">
        <w:rPr>
          <w:rFonts w:ascii="Times New Roman" w:cs="Times New Roman" w:eastAsia="Times New Roman" w:hAnsi="Times New Roman"/>
          <w:b w:val="1"/>
          <w:sz w:val="20"/>
          <w:szCs w:val="20"/>
          <w:rtl w:val="0"/>
        </w:rPr>
        <w:t xml:space="preserve">En este taller, se lleva a cabo la creación y evaluación de modelos auto-regresivos utilizando arquitecturas de redes recurrentes y transformers. Durante el taller, se realizarán diversas actividades relacionadas con el Procesamiento del Lenguaje Natural (PLN), tales como la predicción de series temporales, la clasificación de textos, la transcripción y la traducción. El enfoque principal será explorar y aplicar estos modelos en tareas específicas de procesamiento de lenguaje natural, con el objetivo de comprender su desempeño y eficacia en diferentes contextos.</w:t>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07">
      <w:pPr>
        <w:ind w:firstLine="72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8">
      <w:pPr>
        <w:spacing w:after="0" w:before="0" w:line="308.5714285714286" w:lineRule="auto"/>
        <w:ind w:firstLine="72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-–Summary: In this workshop, the creation and evaluation of auto-regressive models is carried out using recurrent network architectures and transformers. During the workshop, various activities related to Natural Language Processing (NLP) will be carried out, such as time series prediction, text classification, transcription and translation. The main focus will be to explore and apply these models in specific natural language processing tasks, with the aim of understanding their performance and effectiveness in different contexts.</w:t>
      </w:r>
    </w:p>
    <w:p w:rsidR="00000000" w:rsidDel="00000000" w:rsidP="00000000" w:rsidRDefault="00000000" w:rsidRPr="00000000" w14:paraId="00000009">
      <w:pPr>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INTRODUCCIÓN</w:t>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0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Procesamiento del Lenguaje Natural (PLN): El Procesamiento del Lenguaje Natural es un campo de la inteligencia artificial que se centra en la interacción entre las computadoras y el lenguaje humano. Su objetivo es permitir que las máquinas comprendan, interpreten y generen texto de manera similar a como lo hacen los humanos. Las aplicaciones de PLN son diversas e incluyen traducción automática, análisis de sentimientos, resumen de texto, chatbots, entre otros.</w:t>
      </w:r>
    </w:p>
    <w:p w:rsidR="00000000" w:rsidDel="00000000" w:rsidP="00000000" w:rsidRDefault="00000000" w:rsidRPr="00000000" w14:paraId="0000000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MARCO TEÓRICO</w:t>
      </w:r>
    </w:p>
    <w:p w:rsidR="00000000" w:rsidDel="00000000" w:rsidP="00000000" w:rsidRDefault="00000000" w:rsidRPr="00000000" w14:paraId="0000000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Redes Neuronales Recurrentes (RNN): Las Redes Neuronales Recurrentes son un tipo de arquitectura de redes neuronales diseñada para procesar secuencias de datos, como texto o series temporales. A diferencia de las redes neuronales tradicionales, las RNN tienen conexiones que forman ciclos, permitiendo a la red retener información sobre eventos anteriores. Esto las hace efectivas en tareas donde la secuencia y el contexto son importantes, como en el procesamiento de lenguaje natural. Sin embargo, las RNN tienen limitaciones, como la dificultad para manejar dependencias a largo plazo. Esto llevó al desarrollo de arquitecturas más avanzadas, como los Transformers. Transformers: Los Transformers son una arquitectura de red neuronal introducida en el campo del PLN por su capacidad para manejar eficientemente secuencias largas de datos y capturar relaciones a largo plazo. A diferencia de las RNN, los Transformers no dependen de conexiones recurrentes, sino que utilizan mecanismos de atención para procesar simultáneamente todas las partes de la secuencia. Esto los hace altamente paralelizables y eficaces en una amplia gama de tareas de PLN. Los Transformers han revolucionado el campo del PLN y son la base de muchos modelos de vanguardia, como BERT, GPT y otros, que han demostrado un rendimiento excepcional en tareas como la comprensión del lenguaje, generación de texto y traducción automática.</w:t>
      </w:r>
    </w:p>
    <w:p w:rsidR="00000000" w:rsidDel="00000000" w:rsidP="00000000" w:rsidRDefault="00000000" w:rsidRPr="00000000" w14:paraId="0000000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I. APLICACIÓN DE CLASIFICACIÓN DE MOVIMIENTO CON DEEP LEARNING (RNN Y TRANSFORMERS)</w:t>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1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apartado se realiza como una continuación a un primer trabajo presentado en la materia, dentro del cual se pretende estudiar y analizar la misma situación pero con diferentes técnicas de Deep learning, por lo tanto, algunas de las explicaciones y procedimientos se extraerán del anterior trabajo y se replicarán en este. </w:t>
      </w:r>
    </w:p>
    <w:p w:rsidR="00000000" w:rsidDel="00000000" w:rsidP="00000000" w:rsidRDefault="00000000" w:rsidRPr="00000000" w14:paraId="00000011">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Seguidamente, se documentará todo el procedimiento, objetivos y resultados del entrenamiento de tres modelos de deep learning con el objetivo de realizar una clasificación de movimiento.</w:t>
      </w: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finalidad académica de esta sección se enfoca en realizar una comparación entre tres diferentes modelos de deep learning con el objetivo de realizar una clasificación con datos secuenciales de movimiento obtenidos del giroscopio de un smartphone.</w:t>
      </w:r>
    </w:p>
    <w:p w:rsidR="00000000" w:rsidDel="00000000" w:rsidP="00000000" w:rsidRDefault="00000000" w:rsidRPr="00000000" w14:paraId="0000001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modelos específicos a evaluar dentro de este contexto son: Modelo RNN, modelo Transformers con capa de normalización y modelo Transformers sin normalización. Todos con el mismo preprocesamiento, diferenciándose únicamente en la modificación de su arquitectura de entrenamiento.</w:t>
      </w:r>
    </w:p>
    <w:p w:rsidR="00000000" w:rsidDel="00000000" w:rsidP="00000000" w:rsidRDefault="00000000" w:rsidRPr="00000000" w14:paraId="0000001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Como propósito específico del contexto, el proyecto se realiza con el fin de solventar una situación muy común entre las personas, la cual es el deficiente lavado de dientes [1] [2] [3].</w:t>
      </w:r>
    </w:p>
    <w:p w:rsidR="00000000" w:rsidDel="00000000" w:rsidP="00000000" w:rsidRDefault="00000000" w:rsidRPr="00000000" w14:paraId="0000001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solución propuesta se basa en un clasificador de movimiento que mediante reconocimiento de patrones determinara de manera general que tan adecuado es el lavado de dientes de las personas. Al ser un proyecto netamente académico se centra en la realización del modelo clasificador con DL, pero posteriormente se puede aplicar a la práctica mediante la incorporación de un sensor específico en instrumentos como el cepillo dental a través de tecnologías como internet de las cosas (IoT).</w:t>
      </w:r>
    </w:p>
    <w:p w:rsidR="00000000" w:rsidDel="00000000" w:rsidP="00000000" w:rsidRDefault="00000000" w:rsidRPr="00000000" w14:paraId="0000001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clasificación se realizará mediante la detección de 4 categorías, las cuales detectarán si la persona está cepillando correctamente las caras laterales de sus dientes, la parte superior de los molares, o si por el contrario está cepillando su dentadura de manera errónea, así mismo detectara cuando no esté lavando sus dientes. Por tanto, la clasificación se reduce al movimiento que tiene el cepillo en función de la localización y parte del diente. Para mayor comprensión de la anatomía del diente se presenta una imagen con sus partes exteriores principales [4].</w:t>
      </w:r>
    </w:p>
    <w:p w:rsidR="00000000" w:rsidDel="00000000" w:rsidP="00000000" w:rsidRDefault="00000000" w:rsidRPr="00000000" w14:paraId="00000017">
      <w:pPr>
        <w:jc w:val="center"/>
        <w:rPr/>
      </w:pPr>
      <w:r w:rsidDel="00000000" w:rsidR="00000000" w:rsidRPr="00000000">
        <w:rPr/>
        <w:drawing>
          <wp:inline distB="0" distT="0" distL="0" distR="0">
            <wp:extent cx="1651626" cy="1526975"/>
            <wp:effectExtent b="0" l="0" r="0" t="0"/>
            <wp:docPr id="24"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1651626" cy="15269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sz w:val="16"/>
          <w:szCs w:val="16"/>
        </w:rPr>
      </w:pPr>
      <w:r w:rsidDel="00000000" w:rsidR="00000000" w:rsidRPr="00000000">
        <w:rPr>
          <w:sz w:val="16"/>
          <w:szCs w:val="16"/>
          <w:rtl w:val="0"/>
        </w:rPr>
        <w:t xml:space="preserve">Fig. 22. Partes exteriores del diente.</w:t>
      </w:r>
    </w:p>
    <w:p w:rsidR="00000000" w:rsidDel="00000000" w:rsidP="00000000" w:rsidRDefault="00000000" w:rsidRPr="00000000" w14:paraId="0000001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Como antecedentes de solución, no se encontró alguna que coincida de manera exacta con el mismo enfoque, pero dentro de muchos proyectos de DL en el sector de la salud, se encontró una solución de detección de placa dental en las personas mediante visión computacional (CV) [5].</w:t>
      </w:r>
    </w:p>
    <w:p w:rsidR="00000000" w:rsidDel="00000000" w:rsidP="00000000" w:rsidRDefault="00000000" w:rsidRPr="00000000" w14:paraId="0000001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el desarrollo del proyecto, fueron de gran importancia los códigos Python del profesor Jesús A. López, compartidos como parte de la materia ‘Procesamiento para datos secuenciales’ [6].</w:t>
      </w:r>
    </w:p>
    <w:p w:rsidR="00000000" w:rsidDel="00000000" w:rsidP="00000000" w:rsidRDefault="00000000" w:rsidRPr="00000000" w14:paraId="0000001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continuación, se presenta de manera general el funcionamiento del proyecto mediante un diagrama de bloques.</w:t>
      </w:r>
    </w:p>
    <w:p w:rsidR="00000000" w:rsidDel="00000000" w:rsidP="00000000" w:rsidRDefault="00000000" w:rsidRPr="00000000" w14:paraId="0000001C">
      <w:pPr>
        <w:jc w:val="center"/>
        <w:rPr/>
      </w:pPr>
      <w:r w:rsidDel="00000000" w:rsidR="00000000" w:rsidRPr="00000000">
        <w:rPr/>
        <w:drawing>
          <wp:inline distB="0" distT="0" distL="0" distR="0">
            <wp:extent cx="1447505" cy="2682636"/>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447505" cy="268263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sz w:val="16"/>
          <w:szCs w:val="16"/>
        </w:rPr>
      </w:pPr>
      <w:r w:rsidDel="00000000" w:rsidR="00000000" w:rsidRPr="00000000">
        <w:rPr>
          <w:sz w:val="16"/>
          <w:szCs w:val="16"/>
          <w:rtl w:val="0"/>
        </w:rPr>
        <w:t xml:space="preserve">Fig. 23. Diagrama de bloques de clasificación de movimiento. </w:t>
      </w:r>
    </w:p>
    <w:p w:rsidR="00000000" w:rsidDel="00000000" w:rsidP="00000000" w:rsidRDefault="00000000" w:rsidRPr="00000000" w14:paraId="0000001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nivel técnico, para la realización del proyecto y el entrenamiento del mismo fue requerido un giroscopio el cual se usó desde un celular mediante la plataforma de Edge Impulse [7], la cual sirvió como base para la recopilación de los datos de movimiento capturados de manera manual mediante la repetición de las diferentes acciones a clasificar (lavado frontal, superior, incorrecto e inactividad). Así mismo un computador con conexión a internet para ingresar a la plataforma Google Colab [8] fue requerido.</w:t>
      </w:r>
    </w:p>
    <w:p w:rsidR="00000000" w:rsidDel="00000000" w:rsidP="00000000" w:rsidRDefault="00000000" w:rsidRPr="00000000" w14:paraId="0000001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Cabe resaltar que los datos tomados para entrenar el modelo se basaron en la recopilación de datos en un solo contexto, por lo tanto, el reto presentado en este apartado se basa en el caso que se desee llevar el modelo a otros contextos y usuarios, este deberá tener la posibilidad de ajustarse mediante fine tuning [9] para su óptimo funcionamiento y realizar una clasificación precisa en base a los sonidos captados.</w:t>
      </w:r>
    </w:p>
    <w:p w:rsidR="00000000" w:rsidDel="00000000" w:rsidP="00000000" w:rsidRDefault="00000000" w:rsidRPr="00000000" w14:paraId="0000002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tres modelos entrenados difieren, como se mencionó anteriormente, en la composición de la arquitectura característica de cada modelo según su enfoque (RNN o Transformers), sin embargo, el procesamiento de los datos secuenciales es igual en todos, por tanto, se </w:t>
      </w:r>
      <w:r w:rsidDel="00000000" w:rsidR="00000000" w:rsidRPr="00000000">
        <w:rPr>
          <w:rFonts w:ascii="Times New Roman" w:cs="Times New Roman" w:eastAsia="Times New Roman" w:hAnsi="Times New Roman"/>
          <w:sz w:val="20"/>
          <w:szCs w:val="20"/>
          <w:rtl w:val="0"/>
        </w:rPr>
        <w:t xml:space="preserve">generalizará</w:t>
      </w:r>
      <w:r w:rsidDel="00000000" w:rsidR="00000000" w:rsidRPr="00000000">
        <w:rPr>
          <w:rFonts w:ascii="Times New Roman" w:cs="Times New Roman" w:eastAsia="Times New Roman" w:hAnsi="Times New Roman"/>
          <w:sz w:val="20"/>
          <w:szCs w:val="20"/>
          <w:rtl w:val="0"/>
        </w:rPr>
        <w:t xml:space="preserve"> esta parte del proceso.</w:t>
      </w:r>
    </w:p>
    <w:p w:rsidR="00000000" w:rsidDel="00000000" w:rsidP="00000000" w:rsidRDefault="00000000" w:rsidRPr="00000000" w14:paraId="00000021">
      <w:pPr>
        <w:numPr>
          <w:ilvl w:val="0"/>
          <w:numId w:val="8"/>
        </w:numPr>
        <w:spacing w:after="0" w:lineRule="auto"/>
        <w:ind w:left="720" w:hanging="360"/>
        <w:jc w:val="both"/>
        <w:rPr>
          <w:i w:val="1"/>
          <w:sz w:val="20"/>
          <w:szCs w:val="20"/>
        </w:rPr>
      </w:pPr>
      <w:r w:rsidDel="00000000" w:rsidR="00000000" w:rsidRPr="00000000">
        <w:rPr>
          <w:rFonts w:ascii="Times New Roman" w:cs="Times New Roman" w:eastAsia="Times New Roman" w:hAnsi="Times New Roman"/>
          <w:i w:val="1"/>
          <w:sz w:val="20"/>
          <w:szCs w:val="20"/>
          <w:rtl w:val="0"/>
        </w:rPr>
        <w:t xml:space="preserve">Proceso general [6] para realizar el entrenamiento de los modelos</w:t>
      </w:r>
    </w:p>
    <w:p w:rsidR="00000000" w:rsidDel="00000000" w:rsidP="00000000" w:rsidRDefault="00000000" w:rsidRPr="00000000" w14:paraId="00000022">
      <w:pPr>
        <w:numPr>
          <w:ilvl w:val="0"/>
          <w:numId w:val="10"/>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Conexión e importación de librerías en Google Colab</w:t>
      </w:r>
    </w:p>
    <w:p w:rsidR="00000000" w:rsidDel="00000000" w:rsidP="00000000" w:rsidRDefault="00000000" w:rsidRPr="00000000" w14:paraId="00000023">
      <w:pPr>
        <w:jc w:val="center"/>
        <w:rPr/>
      </w:pPr>
      <w:r w:rsidDel="00000000" w:rsidR="00000000" w:rsidRPr="00000000">
        <w:rPr/>
        <w:drawing>
          <wp:inline distB="0" distT="0" distL="0" distR="0">
            <wp:extent cx="2131219" cy="1762696"/>
            <wp:effectExtent b="0" l="0" r="0" t="0"/>
            <wp:docPr id="1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131219" cy="176269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sz w:val="16"/>
          <w:szCs w:val="16"/>
        </w:rPr>
      </w:pPr>
      <w:r w:rsidDel="00000000" w:rsidR="00000000" w:rsidRPr="00000000">
        <w:rPr>
          <w:sz w:val="16"/>
          <w:szCs w:val="16"/>
          <w:rtl w:val="0"/>
        </w:rPr>
        <w:t xml:space="preserve">Fig. 24. Importación de librerías y conexión a Drive.</w:t>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numPr>
          <w:ilvl w:val="0"/>
          <w:numId w:val="10"/>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Unión de valores de todos los archivos según su canal y graficación</w:t>
      </w:r>
    </w:p>
    <w:p w:rsidR="00000000" w:rsidDel="00000000" w:rsidP="00000000" w:rsidRDefault="00000000" w:rsidRPr="00000000" w14:paraId="00000027">
      <w:pPr>
        <w:jc w:val="center"/>
        <w:rPr/>
      </w:pPr>
      <w:r w:rsidDel="00000000" w:rsidR="00000000" w:rsidRPr="00000000">
        <w:rPr/>
        <w:drawing>
          <wp:inline distB="0" distT="0" distL="0" distR="0">
            <wp:extent cx="1908189" cy="742517"/>
            <wp:effectExtent b="0" l="0" r="0" t="0"/>
            <wp:docPr id="44"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1908189" cy="74251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sz w:val="16"/>
          <w:szCs w:val="16"/>
        </w:rPr>
      </w:pPr>
      <w:r w:rsidDel="00000000" w:rsidR="00000000" w:rsidRPr="00000000">
        <w:rPr>
          <w:sz w:val="16"/>
          <w:szCs w:val="16"/>
          <w:rtl w:val="0"/>
        </w:rPr>
        <w:t xml:space="preserve">Fig. 25. Agrupación de datos en 3 arreglos.</w:t>
      </w:r>
    </w:p>
    <w:p w:rsidR="00000000" w:rsidDel="00000000" w:rsidP="00000000" w:rsidRDefault="00000000" w:rsidRPr="00000000" w14:paraId="00000029">
      <w:pPr>
        <w:jc w:val="center"/>
        <w:rPr>
          <w:sz w:val="16"/>
          <w:szCs w:val="16"/>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drawing>
          <wp:inline distB="0" distT="0" distL="0" distR="0">
            <wp:extent cx="2581275" cy="1892300"/>
            <wp:effectExtent b="0" l="0" r="0" t="0"/>
            <wp:docPr id="22"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258127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sz w:val="16"/>
          <w:szCs w:val="16"/>
        </w:rPr>
      </w:pPr>
      <w:r w:rsidDel="00000000" w:rsidR="00000000" w:rsidRPr="00000000">
        <w:rPr>
          <w:sz w:val="16"/>
          <w:szCs w:val="16"/>
          <w:rtl w:val="0"/>
        </w:rPr>
        <w:t xml:space="preserve">Fig. 26. Visualización de datos en 3 canales.</w:t>
      </w:r>
    </w:p>
    <w:p w:rsidR="00000000" w:rsidDel="00000000" w:rsidP="00000000" w:rsidRDefault="00000000" w:rsidRPr="00000000" w14:paraId="0000002C">
      <w:pPr>
        <w:jc w:val="center"/>
        <w:rPr>
          <w:sz w:val="16"/>
          <w:szCs w:val="16"/>
        </w:rPr>
      </w:pPr>
      <w:r w:rsidDel="00000000" w:rsidR="00000000" w:rsidRPr="00000000">
        <w:rPr>
          <w:rtl w:val="0"/>
        </w:rPr>
      </w:r>
    </w:p>
    <w:p w:rsidR="00000000" w:rsidDel="00000000" w:rsidP="00000000" w:rsidRDefault="00000000" w:rsidRPr="00000000" w14:paraId="0000002D">
      <w:pPr>
        <w:numPr>
          <w:ilvl w:val="0"/>
          <w:numId w:val="10"/>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generan los datos de etiquetado (matrices de unos y ceros según categoría)</w:t>
      </w:r>
    </w:p>
    <w:p w:rsidR="00000000" w:rsidDel="00000000" w:rsidP="00000000" w:rsidRDefault="00000000" w:rsidRPr="00000000" w14:paraId="0000002E">
      <w:pPr>
        <w:jc w:val="center"/>
        <w:rPr/>
      </w:pPr>
      <w:r w:rsidDel="00000000" w:rsidR="00000000" w:rsidRPr="00000000">
        <w:rPr/>
        <w:drawing>
          <wp:inline distB="0" distT="0" distL="0" distR="0">
            <wp:extent cx="1488565" cy="1791186"/>
            <wp:effectExtent b="0" l="0" r="0" t="0"/>
            <wp:docPr id="39"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1488565" cy="179118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sz w:val="16"/>
          <w:szCs w:val="16"/>
        </w:rPr>
      </w:pPr>
      <w:r w:rsidDel="00000000" w:rsidR="00000000" w:rsidRPr="00000000">
        <w:rPr>
          <w:sz w:val="16"/>
          <w:szCs w:val="16"/>
          <w:rtl w:val="0"/>
        </w:rPr>
        <w:t xml:space="preserve">Fig. 27. Etiquetado de datos.</w:t>
      </w:r>
    </w:p>
    <w:p w:rsidR="00000000" w:rsidDel="00000000" w:rsidP="00000000" w:rsidRDefault="00000000" w:rsidRPr="00000000" w14:paraId="00000030">
      <w:pPr>
        <w:jc w:val="center"/>
        <w:rPr>
          <w:sz w:val="16"/>
          <w:szCs w:val="16"/>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En adelante, el proceso de entrada de los datos y entrenamiento se independizan según el tipo de modelo.</w:t>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Como dato importante, y aplicable a cada uno de los siguientes modelos es la normalización la cual, si bien, en muchos casos y contextos es aplicable y de utilidad para obtener mejores resultados debido a la estandarización de sus datos, en este caso dado que una de las principales características diferenciales entre las categorías recolectadas es la variación de magnitud (en este caso de aceleración en cada uno de sus ejes), la decisión de aplicar normalización a los datos fue perjudicial y afecto en gran escala la precisión resultante del modelo final.</w:t>
      </w:r>
    </w:p>
    <w:p w:rsidR="00000000" w:rsidDel="00000000" w:rsidP="00000000" w:rsidRDefault="00000000" w:rsidRPr="00000000" w14:paraId="0000003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Como muestra de ello se presenta un ejemplo de resultado:</w:t>
      </w:r>
    </w:p>
    <w:p w:rsidR="00000000" w:rsidDel="00000000" w:rsidP="00000000" w:rsidRDefault="00000000" w:rsidRPr="00000000" w14:paraId="00000034">
      <w:pPr>
        <w:numPr>
          <w:ilvl w:val="0"/>
          <w:numId w:val="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 normalización: </w:t>
      </w:r>
    </w:p>
    <w:p w:rsidR="00000000" w:rsidDel="00000000" w:rsidP="00000000" w:rsidRDefault="00000000" w:rsidRPr="00000000" w14:paraId="00000035">
      <w:pPr>
        <w:jc w:val="center"/>
        <w:rPr/>
      </w:pPr>
      <w:r w:rsidDel="00000000" w:rsidR="00000000" w:rsidRPr="00000000">
        <w:rPr/>
        <w:drawing>
          <wp:inline distB="0" distT="0" distL="0" distR="0">
            <wp:extent cx="2428875" cy="875407"/>
            <wp:effectExtent b="0" l="0" r="0" t="0"/>
            <wp:docPr id="43"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2428875" cy="87540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sz w:val="16"/>
          <w:szCs w:val="16"/>
        </w:rPr>
      </w:pPr>
      <w:r w:rsidDel="00000000" w:rsidR="00000000" w:rsidRPr="00000000">
        <w:rPr>
          <w:sz w:val="16"/>
          <w:szCs w:val="16"/>
          <w:rtl w:val="0"/>
        </w:rPr>
        <w:t xml:space="preserve">Fig. 28. Matriz de confusión con datos normalizados.</w:t>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numPr>
          <w:ilvl w:val="0"/>
          <w:numId w:val="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 normalización:</w:t>
      </w:r>
    </w:p>
    <w:p w:rsidR="00000000" w:rsidDel="00000000" w:rsidP="00000000" w:rsidRDefault="00000000" w:rsidRPr="00000000" w14:paraId="00000039">
      <w:pPr>
        <w:jc w:val="center"/>
        <w:rPr/>
      </w:pPr>
      <w:r w:rsidDel="00000000" w:rsidR="00000000" w:rsidRPr="00000000">
        <w:rPr/>
        <w:drawing>
          <wp:inline distB="0" distT="0" distL="0" distR="0">
            <wp:extent cx="2461074" cy="1035702"/>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461074" cy="103570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sz w:val="16"/>
          <w:szCs w:val="16"/>
        </w:rPr>
      </w:pPr>
      <w:r w:rsidDel="00000000" w:rsidR="00000000" w:rsidRPr="00000000">
        <w:rPr>
          <w:sz w:val="16"/>
          <w:szCs w:val="16"/>
          <w:rtl w:val="0"/>
        </w:rPr>
        <w:t xml:space="preserve">Fig. 29. Matriz de confusión con datos sin normalizar.</w:t>
      </w:r>
    </w:p>
    <w:p w:rsidR="00000000" w:rsidDel="00000000" w:rsidP="00000000" w:rsidRDefault="00000000" w:rsidRPr="00000000" w14:paraId="0000003B">
      <w:pPr>
        <w:jc w:val="center"/>
        <w:rPr>
          <w:sz w:val="16"/>
          <w:szCs w:val="16"/>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Como actualización a este apartado cabe resaltar que, en este caso al tratarse de un análisis con arquitectura Transformers, esta cuenta con una capa de normalización intrínseca en su arquitectura, y que de acuerdo a diversas pruebas realizadas incide de la misma manera que la normalización de los datos por fuera del modelo, por tanto a modo comparativo, se utilizaran dos modelos de Transformers (con y sin normalización) para analizar respectivamente esta situación y sus consecuencias en el entrenamiento y resultados.</w:t>
      </w:r>
    </w:p>
    <w:p w:rsidR="00000000" w:rsidDel="00000000" w:rsidP="00000000" w:rsidRDefault="00000000" w:rsidRPr="00000000" w14:paraId="0000003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Como primer modelo se escogió una RNN ya trabajada anteriormente con el fin de dar un mejor contexto.</w:t>
      </w:r>
    </w:p>
    <w:p w:rsidR="00000000" w:rsidDel="00000000" w:rsidP="00000000" w:rsidRDefault="00000000" w:rsidRPr="00000000" w14:paraId="0000003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numPr>
          <w:ilvl w:val="0"/>
          <w:numId w:val="7"/>
        </w:numPr>
        <w:spacing w:after="0"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Modelo 1: Red con unidades recurrentes</w:t>
      </w:r>
    </w:p>
    <w:p w:rsidR="00000000" w:rsidDel="00000000" w:rsidP="00000000" w:rsidRDefault="00000000" w:rsidRPr="00000000" w14:paraId="00000040">
      <w:pPr>
        <w:spacing w:after="0" w:lineRule="auto"/>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1">
      <w:pPr>
        <w:numPr>
          <w:ilvl w:val="0"/>
          <w:numId w:val="3"/>
        </w:numPr>
        <w:ind w:left="720" w:hanging="360"/>
        <w:jc w:val="both"/>
        <w:rPr>
          <w:i w:val="1"/>
          <w:sz w:val="20"/>
          <w:szCs w:val="20"/>
        </w:rPr>
      </w:pPr>
      <w:r w:rsidDel="00000000" w:rsidR="00000000" w:rsidRPr="00000000">
        <w:rPr>
          <w:rFonts w:ascii="Times New Roman" w:cs="Times New Roman" w:eastAsia="Times New Roman" w:hAnsi="Times New Roman"/>
          <w:i w:val="1"/>
          <w:sz w:val="20"/>
          <w:szCs w:val="20"/>
          <w:rtl w:val="0"/>
        </w:rPr>
        <w:t xml:space="preserve">Se divide los canales del archivo en 3 vectores de igual longitud</w:t>
      </w:r>
    </w:p>
    <w:p w:rsidR="00000000" w:rsidDel="00000000" w:rsidP="00000000" w:rsidRDefault="00000000" w:rsidRPr="00000000" w14:paraId="00000042">
      <w:pPr>
        <w:jc w:val="center"/>
        <w:rPr/>
      </w:pPr>
      <w:r w:rsidDel="00000000" w:rsidR="00000000" w:rsidRPr="00000000">
        <w:rPr/>
        <w:drawing>
          <wp:inline distB="0" distT="0" distL="0" distR="0">
            <wp:extent cx="1954493" cy="1076070"/>
            <wp:effectExtent b="0" l="0" r="0" t="0"/>
            <wp:docPr id="3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954493" cy="107607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sz w:val="16"/>
          <w:szCs w:val="16"/>
        </w:rPr>
      </w:pPr>
      <w:r w:rsidDel="00000000" w:rsidR="00000000" w:rsidRPr="00000000">
        <w:rPr>
          <w:sz w:val="16"/>
          <w:szCs w:val="16"/>
          <w:rtl w:val="0"/>
        </w:rPr>
        <w:t xml:space="preserve">Fig. 44. Unión de datos en 3 arreglos unidimensionales.</w:t>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numPr>
          <w:ilvl w:val="0"/>
          <w:numId w:val="3"/>
        </w:numPr>
        <w:ind w:left="720" w:hanging="360"/>
        <w:jc w:val="both"/>
        <w:rPr>
          <w:i w:val="1"/>
          <w:sz w:val="20"/>
          <w:szCs w:val="20"/>
        </w:rPr>
      </w:pPr>
      <w:r w:rsidDel="00000000" w:rsidR="00000000" w:rsidRPr="00000000">
        <w:rPr>
          <w:rFonts w:ascii="Times New Roman" w:cs="Times New Roman" w:eastAsia="Times New Roman" w:hAnsi="Times New Roman"/>
          <w:i w:val="1"/>
          <w:sz w:val="20"/>
          <w:szCs w:val="20"/>
          <w:rtl w:val="0"/>
        </w:rPr>
        <w:t xml:space="preserve">Se define la arquitectura del modelo RNN</w:t>
      </w:r>
    </w:p>
    <w:p w:rsidR="00000000" w:rsidDel="00000000" w:rsidP="00000000" w:rsidRDefault="00000000" w:rsidRPr="00000000" w14:paraId="00000046">
      <w:pPr>
        <w:jc w:val="center"/>
        <w:rPr/>
      </w:pPr>
      <w:r w:rsidDel="00000000" w:rsidR="00000000" w:rsidRPr="00000000">
        <w:rPr/>
        <w:drawing>
          <wp:inline distB="0" distT="0" distL="0" distR="0">
            <wp:extent cx="2517322" cy="1431727"/>
            <wp:effectExtent b="0" l="0" r="0" t="0"/>
            <wp:docPr id="46"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2517322" cy="143172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sz w:val="16"/>
          <w:szCs w:val="16"/>
        </w:rPr>
      </w:pPr>
      <w:r w:rsidDel="00000000" w:rsidR="00000000" w:rsidRPr="00000000">
        <w:rPr>
          <w:sz w:val="16"/>
          <w:szCs w:val="16"/>
          <w:rtl w:val="0"/>
        </w:rPr>
        <w:t xml:space="preserve">Fig. 45. Arquitectura del modelo RNN.</w:t>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numPr>
          <w:ilvl w:val="0"/>
          <w:numId w:val="3"/>
        </w:numPr>
        <w:ind w:left="720" w:hanging="360"/>
        <w:jc w:val="both"/>
        <w:rPr>
          <w:i w:val="1"/>
          <w:sz w:val="20"/>
          <w:szCs w:val="20"/>
        </w:rPr>
      </w:pPr>
      <w:r w:rsidDel="00000000" w:rsidR="00000000" w:rsidRPr="00000000">
        <w:rPr>
          <w:rFonts w:ascii="Times New Roman" w:cs="Times New Roman" w:eastAsia="Times New Roman" w:hAnsi="Times New Roman"/>
          <w:i w:val="1"/>
          <w:sz w:val="20"/>
          <w:szCs w:val="20"/>
          <w:rtl w:val="0"/>
        </w:rPr>
        <w:t xml:space="preserve">Graficación y diagramación del modelo</w:t>
      </w:r>
    </w:p>
    <w:p w:rsidR="00000000" w:rsidDel="00000000" w:rsidP="00000000" w:rsidRDefault="00000000" w:rsidRPr="00000000" w14:paraId="0000004A">
      <w:pPr>
        <w:jc w:val="center"/>
        <w:rPr/>
      </w:pPr>
      <w:r w:rsidDel="00000000" w:rsidR="00000000" w:rsidRPr="00000000">
        <w:rPr/>
        <w:drawing>
          <wp:inline distB="0" distT="0" distL="0" distR="0">
            <wp:extent cx="2581275" cy="1689100"/>
            <wp:effectExtent b="0" l="0" r="0" t="0"/>
            <wp:docPr id="1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581275"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sz w:val="16"/>
          <w:szCs w:val="16"/>
        </w:rPr>
      </w:pPr>
      <w:r w:rsidDel="00000000" w:rsidR="00000000" w:rsidRPr="00000000">
        <w:rPr>
          <w:sz w:val="16"/>
          <w:szCs w:val="16"/>
          <w:rtl w:val="0"/>
        </w:rPr>
        <w:t xml:space="preserve">Fig. 46. Diagrama del modelo RNN.</w:t>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numPr>
          <w:ilvl w:val="0"/>
          <w:numId w:val="3"/>
        </w:numPr>
        <w:ind w:left="720" w:hanging="360"/>
        <w:jc w:val="both"/>
        <w:rPr>
          <w:i w:val="1"/>
          <w:sz w:val="20"/>
          <w:szCs w:val="20"/>
        </w:rPr>
      </w:pPr>
      <w:r w:rsidDel="00000000" w:rsidR="00000000" w:rsidRPr="00000000">
        <w:rPr>
          <w:rFonts w:ascii="Times New Roman" w:cs="Times New Roman" w:eastAsia="Times New Roman" w:hAnsi="Times New Roman"/>
          <w:i w:val="1"/>
          <w:sz w:val="20"/>
          <w:szCs w:val="20"/>
          <w:rtl w:val="0"/>
        </w:rPr>
        <w:t xml:space="preserve">Entrenamiento del modelo</w:t>
      </w:r>
    </w:p>
    <w:p w:rsidR="00000000" w:rsidDel="00000000" w:rsidP="00000000" w:rsidRDefault="00000000" w:rsidRPr="00000000" w14:paraId="0000004E">
      <w:pPr>
        <w:jc w:val="center"/>
        <w:rPr/>
      </w:pPr>
      <w:r w:rsidDel="00000000" w:rsidR="00000000" w:rsidRPr="00000000">
        <w:rPr/>
        <w:drawing>
          <wp:inline distB="0" distT="0" distL="0" distR="0">
            <wp:extent cx="2581275" cy="279400"/>
            <wp:effectExtent b="0" l="0" r="0" t="0"/>
            <wp:docPr id="36"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2581275"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sz w:val="16"/>
          <w:szCs w:val="16"/>
        </w:rPr>
      </w:pPr>
      <w:r w:rsidDel="00000000" w:rsidR="00000000" w:rsidRPr="00000000">
        <w:rPr>
          <w:sz w:val="16"/>
          <w:szCs w:val="16"/>
          <w:rtl w:val="0"/>
        </w:rPr>
        <w:t xml:space="preserve">Fig. 47. Entrenamiento del modelo.</w:t>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numPr>
          <w:ilvl w:val="0"/>
          <w:numId w:val="3"/>
        </w:numPr>
        <w:ind w:left="720" w:hanging="360"/>
        <w:jc w:val="both"/>
        <w:rPr>
          <w:i w:val="1"/>
          <w:sz w:val="20"/>
          <w:szCs w:val="20"/>
        </w:rPr>
      </w:pPr>
      <w:r w:rsidDel="00000000" w:rsidR="00000000" w:rsidRPr="00000000">
        <w:rPr>
          <w:rFonts w:ascii="Times New Roman" w:cs="Times New Roman" w:eastAsia="Times New Roman" w:hAnsi="Times New Roman"/>
          <w:i w:val="1"/>
          <w:sz w:val="20"/>
          <w:szCs w:val="20"/>
          <w:rtl w:val="0"/>
        </w:rPr>
        <w:t xml:space="preserve">Gráfica de la función de pérdida del entrenamiento</w:t>
      </w:r>
    </w:p>
    <w:p w:rsidR="00000000" w:rsidDel="00000000" w:rsidP="00000000" w:rsidRDefault="00000000" w:rsidRPr="00000000" w14:paraId="00000052">
      <w:pPr>
        <w:jc w:val="center"/>
        <w:rPr/>
      </w:pPr>
      <w:r w:rsidDel="00000000" w:rsidR="00000000" w:rsidRPr="00000000">
        <w:rPr/>
        <w:drawing>
          <wp:inline distB="0" distT="0" distL="0" distR="0">
            <wp:extent cx="2122714" cy="1693749"/>
            <wp:effectExtent b="0" l="0" r="0" t="0"/>
            <wp:docPr id="41"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2122714" cy="169374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sz w:val="16"/>
          <w:szCs w:val="16"/>
        </w:rPr>
      </w:pPr>
      <w:r w:rsidDel="00000000" w:rsidR="00000000" w:rsidRPr="00000000">
        <w:rPr>
          <w:sz w:val="16"/>
          <w:szCs w:val="16"/>
          <w:rtl w:val="0"/>
        </w:rPr>
        <w:t xml:space="preserve">Fig. 48. Función de pérdida del entrenamiento.</w:t>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numPr>
          <w:ilvl w:val="0"/>
          <w:numId w:val="3"/>
        </w:numPr>
        <w:spacing w:after="0" w:lineRule="auto"/>
        <w:ind w:left="720" w:hanging="360"/>
        <w:jc w:val="both"/>
        <w:rPr>
          <w:i w:val="1"/>
          <w:sz w:val="20"/>
          <w:szCs w:val="20"/>
        </w:rPr>
      </w:pPr>
      <w:r w:rsidDel="00000000" w:rsidR="00000000" w:rsidRPr="00000000">
        <w:rPr>
          <w:rFonts w:ascii="Times New Roman" w:cs="Times New Roman" w:eastAsia="Times New Roman" w:hAnsi="Times New Roman"/>
          <w:i w:val="1"/>
          <w:sz w:val="20"/>
          <w:szCs w:val="20"/>
          <w:rtl w:val="0"/>
        </w:rPr>
        <w:t xml:space="preserve">Se carga y procesa el conjunto de datos para testeo de la misma forma</w:t>
      </w:r>
    </w:p>
    <w:p w:rsidR="00000000" w:rsidDel="00000000" w:rsidP="00000000" w:rsidRDefault="00000000" w:rsidRPr="00000000" w14:paraId="00000056">
      <w:pPr>
        <w:numPr>
          <w:ilvl w:val="0"/>
          <w:numId w:val="3"/>
        </w:numPr>
        <w:ind w:left="720" w:hanging="360"/>
        <w:jc w:val="both"/>
        <w:rPr>
          <w:i w:val="1"/>
          <w:sz w:val="20"/>
          <w:szCs w:val="20"/>
        </w:rPr>
      </w:pPr>
      <w:r w:rsidDel="00000000" w:rsidR="00000000" w:rsidRPr="00000000">
        <w:rPr>
          <w:rFonts w:ascii="Times New Roman" w:cs="Times New Roman" w:eastAsia="Times New Roman" w:hAnsi="Times New Roman"/>
          <w:i w:val="1"/>
          <w:sz w:val="20"/>
          <w:szCs w:val="20"/>
          <w:rtl w:val="0"/>
        </w:rPr>
        <w:t xml:space="preserve">Evaluación del modelo con el dataset de testeo</w:t>
      </w:r>
    </w:p>
    <w:p w:rsidR="00000000" w:rsidDel="00000000" w:rsidP="00000000" w:rsidRDefault="00000000" w:rsidRPr="00000000" w14:paraId="00000057">
      <w:pPr>
        <w:jc w:val="center"/>
        <w:rPr/>
      </w:pPr>
      <w:r w:rsidDel="00000000" w:rsidR="00000000" w:rsidRPr="00000000">
        <w:rPr/>
        <w:drawing>
          <wp:inline distB="0" distT="0" distL="0" distR="0">
            <wp:extent cx="2222987" cy="518697"/>
            <wp:effectExtent b="0" l="0" r="0" t="0"/>
            <wp:docPr id="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222987" cy="51869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sz w:val="16"/>
          <w:szCs w:val="16"/>
        </w:rPr>
      </w:pPr>
      <w:r w:rsidDel="00000000" w:rsidR="00000000" w:rsidRPr="00000000">
        <w:rPr>
          <w:sz w:val="16"/>
          <w:szCs w:val="16"/>
          <w:rtl w:val="0"/>
        </w:rPr>
        <w:t xml:space="preserve">Fig. 49. Evaluación con datos de testeo.</w:t>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numPr>
          <w:ilvl w:val="0"/>
          <w:numId w:val="3"/>
        </w:numPr>
        <w:ind w:left="720" w:hanging="360"/>
        <w:jc w:val="both"/>
        <w:rPr>
          <w:sz w:val="20"/>
          <w:szCs w:val="20"/>
        </w:rPr>
      </w:pPr>
      <w:r w:rsidDel="00000000" w:rsidR="00000000" w:rsidRPr="00000000">
        <w:rPr>
          <w:rFonts w:ascii="Times New Roman" w:cs="Times New Roman" w:eastAsia="Times New Roman" w:hAnsi="Times New Roman"/>
          <w:i w:val="1"/>
          <w:sz w:val="20"/>
          <w:szCs w:val="20"/>
          <w:rtl w:val="0"/>
        </w:rPr>
        <w:t xml:space="preserve">Resultados: </w:t>
      </w:r>
      <w:r w:rsidDel="00000000" w:rsidR="00000000" w:rsidRPr="00000000">
        <w:rPr>
          <w:rFonts w:ascii="Times New Roman" w:cs="Times New Roman" w:eastAsia="Times New Roman" w:hAnsi="Times New Roman"/>
          <w:sz w:val="20"/>
          <w:szCs w:val="20"/>
          <w:rtl w:val="0"/>
        </w:rPr>
        <w:t xml:space="preserve">Dentro del contexto a evaluar y la naturaleza de sus datos, las RNN se presentan como una técnica adecuada para realizar el entrenamiento del modelo, el cual, si bien tiene puede mejorar su precisión global en la clasificación (lo cual ciertamente se puede solucionar mediante una mejor y mayor cantidad de datos recolectados, así como técnicas de regularización), la sección más crítica determinada por la clasificación entre un correcto e incorrecto lavado de dientes tiene un buen resultado debido a que, luego de analizar la matriz de confusión, la categoría dos (lavado incorrecto) presenta una precisión y un recall de 88%, con una baja existencia de falsos negativos y falsos positivos. Se adjunta la matriz de confusión para más detalle.</w:t>
      </w:r>
    </w:p>
    <w:p w:rsidR="00000000" w:rsidDel="00000000" w:rsidP="00000000" w:rsidRDefault="00000000" w:rsidRPr="00000000" w14:paraId="0000005B">
      <w:pPr>
        <w:jc w:val="center"/>
        <w:rPr/>
      </w:pPr>
      <w:r w:rsidDel="00000000" w:rsidR="00000000" w:rsidRPr="00000000">
        <w:rPr/>
        <w:drawing>
          <wp:inline distB="0" distT="0" distL="0" distR="0">
            <wp:extent cx="2390898" cy="1967510"/>
            <wp:effectExtent b="0" l="0" r="0" t="0"/>
            <wp:docPr id="1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390898" cy="196751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i w:val="1"/>
          <w:sz w:val="20"/>
          <w:szCs w:val="20"/>
        </w:rPr>
      </w:pPr>
      <w:r w:rsidDel="00000000" w:rsidR="00000000" w:rsidRPr="00000000">
        <w:rPr>
          <w:sz w:val="16"/>
          <w:szCs w:val="16"/>
          <w:rtl w:val="0"/>
        </w:rPr>
        <w:t xml:space="preserve">Fig. 50. Matriz de confusión del modelo RNN.</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9"/>
        </w:numPr>
        <w:spacing w:after="0" w:lineRule="auto"/>
        <w:ind w:left="720" w:hanging="360"/>
        <w:jc w:val="both"/>
        <w:rPr>
          <w:i w:val="1"/>
          <w:sz w:val="20"/>
          <w:szCs w:val="20"/>
        </w:rPr>
      </w:pPr>
      <w:r w:rsidDel="00000000" w:rsidR="00000000" w:rsidRPr="00000000">
        <w:rPr>
          <w:rFonts w:ascii="Times New Roman" w:cs="Times New Roman" w:eastAsia="Times New Roman" w:hAnsi="Times New Roman"/>
          <w:i w:val="1"/>
          <w:sz w:val="20"/>
          <w:szCs w:val="20"/>
          <w:rtl w:val="0"/>
        </w:rPr>
        <w:t xml:space="preserve">Modelo 2: Red transformers con normalización</w:t>
      </w:r>
    </w:p>
    <w:p w:rsidR="00000000" w:rsidDel="00000000" w:rsidP="00000000" w:rsidRDefault="00000000" w:rsidRPr="00000000" w14:paraId="0000005F">
      <w:pPr>
        <w:spacing w:after="0" w:lineRule="auto"/>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60">
      <w:pPr>
        <w:numPr>
          <w:ilvl w:val="0"/>
          <w:numId w:val="2"/>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divide los canales del archivo en 3 vectores de igual longitud tanto para el conjunto de entrenamiento, como de testeo</w:t>
      </w:r>
    </w:p>
    <w:p w:rsidR="00000000" w:rsidDel="00000000" w:rsidP="00000000" w:rsidRDefault="00000000" w:rsidRPr="00000000" w14:paraId="00000061">
      <w:pPr>
        <w:jc w:val="center"/>
        <w:rPr/>
      </w:pPr>
      <w:r w:rsidDel="00000000" w:rsidR="00000000" w:rsidRPr="00000000">
        <w:rPr/>
        <w:drawing>
          <wp:inline distB="0" distT="0" distL="0" distR="0">
            <wp:extent cx="2149928" cy="1183668"/>
            <wp:effectExtent b="0" l="0" r="0" t="0"/>
            <wp:docPr id="4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149928" cy="118366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sz w:val="16"/>
          <w:szCs w:val="16"/>
        </w:rPr>
      </w:pPr>
      <w:r w:rsidDel="00000000" w:rsidR="00000000" w:rsidRPr="00000000">
        <w:rPr>
          <w:sz w:val="16"/>
          <w:szCs w:val="16"/>
          <w:rtl w:val="0"/>
        </w:rPr>
        <w:t xml:space="preserve">Fig. 37. Unión de datos en 3 vectores según canal.</w:t>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numPr>
          <w:ilvl w:val="0"/>
          <w:numId w:val="2"/>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define la arquitectura del modelo Transformer con capa de normalización en el encoder</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2581275" cy="2070100"/>
            <wp:effectExtent b="0" l="0" r="0" t="0"/>
            <wp:docPr id="25"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258127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sz w:val="16"/>
          <w:szCs w:val="16"/>
        </w:rPr>
      </w:pPr>
      <w:r w:rsidDel="00000000" w:rsidR="00000000" w:rsidRPr="00000000">
        <w:rPr>
          <w:sz w:val="16"/>
          <w:szCs w:val="16"/>
          <w:rtl w:val="0"/>
        </w:rPr>
        <w:t xml:space="preserve">Fig. 38. Arquitectura del modelo Transformer normalizado.</w:t>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numPr>
          <w:ilvl w:val="0"/>
          <w:numId w:val="2"/>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Graficación y diagramación del modelo</w:t>
      </w:r>
    </w:p>
    <w:p w:rsidR="00000000" w:rsidDel="00000000" w:rsidP="00000000" w:rsidRDefault="00000000" w:rsidRPr="00000000" w14:paraId="00000069">
      <w:pPr>
        <w:jc w:val="center"/>
        <w:rPr/>
      </w:pPr>
      <w:r w:rsidDel="00000000" w:rsidR="00000000" w:rsidRPr="00000000">
        <w:rPr/>
        <w:drawing>
          <wp:inline distB="114300" distT="114300" distL="114300" distR="114300">
            <wp:extent cx="1426246" cy="3398104"/>
            <wp:effectExtent b="0" l="0" r="0" t="0"/>
            <wp:docPr id="15"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1426246" cy="339810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sz w:val="16"/>
          <w:szCs w:val="16"/>
        </w:rPr>
      </w:pPr>
      <w:r w:rsidDel="00000000" w:rsidR="00000000" w:rsidRPr="00000000">
        <w:rPr>
          <w:sz w:val="16"/>
          <w:szCs w:val="16"/>
          <w:rtl w:val="0"/>
        </w:rPr>
        <w:t xml:space="preserve">Fig. 39. Diagrama del modelo Transformer normalizado.</w:t>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numPr>
          <w:ilvl w:val="0"/>
          <w:numId w:val="2"/>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Entrenamiento del modelo</w:t>
      </w:r>
    </w:p>
    <w:p w:rsidR="00000000" w:rsidDel="00000000" w:rsidP="00000000" w:rsidRDefault="00000000" w:rsidRPr="00000000" w14:paraId="0000006D">
      <w:pPr>
        <w:jc w:val="center"/>
        <w:rPr/>
      </w:pPr>
      <w:r w:rsidDel="00000000" w:rsidR="00000000" w:rsidRPr="00000000">
        <w:rPr/>
        <w:drawing>
          <wp:inline distB="114300" distT="114300" distL="114300" distR="114300">
            <wp:extent cx="2060575" cy="1153922"/>
            <wp:effectExtent b="0" l="0" r="0" t="0"/>
            <wp:docPr id="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060575" cy="115392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sz w:val="16"/>
          <w:szCs w:val="16"/>
        </w:rPr>
      </w:pPr>
      <w:r w:rsidDel="00000000" w:rsidR="00000000" w:rsidRPr="00000000">
        <w:rPr>
          <w:sz w:val="16"/>
          <w:szCs w:val="16"/>
          <w:rtl w:val="0"/>
        </w:rPr>
        <w:t xml:space="preserve">Fig. 40. Entrenamiento del modelo.</w:t>
      </w:r>
    </w:p>
    <w:p w:rsidR="00000000" w:rsidDel="00000000" w:rsidP="00000000" w:rsidRDefault="00000000" w:rsidRPr="00000000" w14:paraId="0000006F">
      <w:pPr>
        <w:jc w:val="center"/>
        <w:rPr/>
      </w:pPr>
      <w:r w:rsidDel="00000000" w:rsidR="00000000" w:rsidRPr="00000000">
        <w:rPr>
          <w:rtl w:val="0"/>
        </w:rPr>
      </w:r>
    </w:p>
    <w:p w:rsidR="00000000" w:rsidDel="00000000" w:rsidP="00000000" w:rsidRDefault="00000000" w:rsidRPr="00000000" w14:paraId="00000070">
      <w:pPr>
        <w:numPr>
          <w:ilvl w:val="0"/>
          <w:numId w:val="2"/>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Gráfica de la función de pérdida del entrenamiento y testeo</w:t>
      </w:r>
    </w:p>
    <w:p w:rsidR="00000000" w:rsidDel="00000000" w:rsidP="00000000" w:rsidRDefault="00000000" w:rsidRPr="00000000" w14:paraId="00000071">
      <w:pPr>
        <w:jc w:val="center"/>
        <w:rPr/>
      </w:pPr>
      <w:r w:rsidDel="00000000" w:rsidR="00000000" w:rsidRPr="00000000">
        <w:rPr/>
        <w:drawing>
          <wp:inline distB="114300" distT="114300" distL="114300" distR="114300">
            <wp:extent cx="2254885" cy="1777084"/>
            <wp:effectExtent b="0" l="0" r="0" t="0"/>
            <wp:docPr id="40"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2254885" cy="177708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sz w:val="16"/>
          <w:szCs w:val="16"/>
        </w:rPr>
      </w:pPr>
      <w:r w:rsidDel="00000000" w:rsidR="00000000" w:rsidRPr="00000000">
        <w:rPr>
          <w:sz w:val="16"/>
          <w:szCs w:val="16"/>
          <w:rtl w:val="0"/>
        </w:rPr>
        <w:t xml:space="preserve">Fig. 41. Función de pérdida del entrenamiento y testeo.</w:t>
      </w:r>
    </w:p>
    <w:p w:rsidR="00000000" w:rsidDel="00000000" w:rsidP="00000000" w:rsidRDefault="00000000" w:rsidRPr="00000000" w14:paraId="00000073">
      <w:pPr>
        <w:spacing w:after="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74">
      <w:pPr>
        <w:numPr>
          <w:ilvl w:val="0"/>
          <w:numId w:val="2"/>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MSE de evaluación del modelo con el dataset de testeo</w:t>
      </w:r>
    </w:p>
    <w:p w:rsidR="00000000" w:rsidDel="00000000" w:rsidP="00000000" w:rsidRDefault="00000000" w:rsidRPr="00000000" w14:paraId="00000075">
      <w:pPr>
        <w:jc w:val="center"/>
        <w:rPr/>
      </w:pPr>
      <w:r w:rsidDel="00000000" w:rsidR="00000000" w:rsidRPr="00000000">
        <w:rPr/>
        <w:drawing>
          <wp:inline distB="114300" distT="114300" distL="114300" distR="114300">
            <wp:extent cx="2581275" cy="609600"/>
            <wp:effectExtent b="0" l="0" r="0" t="0"/>
            <wp:docPr id="8"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5812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sz w:val="16"/>
          <w:szCs w:val="16"/>
        </w:rPr>
      </w:pPr>
      <w:r w:rsidDel="00000000" w:rsidR="00000000" w:rsidRPr="00000000">
        <w:rPr>
          <w:sz w:val="16"/>
          <w:szCs w:val="16"/>
          <w:rtl w:val="0"/>
        </w:rPr>
        <w:t xml:space="preserve">Fig. 42. MSE evaluación del modelo basado en datos de testeo.</w:t>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Resultados: </w:t>
      </w:r>
      <w:r w:rsidDel="00000000" w:rsidR="00000000" w:rsidRPr="00000000">
        <w:rPr>
          <w:rFonts w:ascii="Times New Roman" w:cs="Times New Roman" w:eastAsia="Times New Roman" w:hAnsi="Times New Roman"/>
          <w:sz w:val="20"/>
          <w:szCs w:val="20"/>
          <w:rtl w:val="0"/>
        </w:rPr>
        <w:t xml:space="preserve">Como segundo modelo se escogió la nueva arquitectura del contexto llamada Transformer, la cual se estableció y entrenó de manera estandarizada con una capa de normalización dentro del bloque codificador y previo a la capa de multi atención. Esto en un principio con el fin de mejorar el aprendizaje de los datos. </w:t>
      </w:r>
    </w:p>
    <w:p w:rsidR="00000000" w:rsidDel="00000000" w:rsidP="00000000" w:rsidRDefault="00000000" w:rsidRPr="00000000" w14:paraId="00000079">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Pero para sorpresa posterior, los resultados </w:t>
      </w:r>
      <w:r w:rsidDel="00000000" w:rsidR="00000000" w:rsidRPr="00000000">
        <w:rPr>
          <w:rFonts w:ascii="Times New Roman" w:cs="Times New Roman" w:eastAsia="Times New Roman" w:hAnsi="Times New Roman"/>
          <w:sz w:val="20"/>
          <w:szCs w:val="20"/>
          <w:rtl w:val="0"/>
        </w:rPr>
        <w:t xml:space="preserve">indicaban</w:t>
      </w:r>
      <w:r w:rsidDel="00000000" w:rsidR="00000000" w:rsidRPr="00000000">
        <w:rPr>
          <w:rFonts w:ascii="Times New Roman" w:cs="Times New Roman" w:eastAsia="Times New Roman" w:hAnsi="Times New Roman"/>
          <w:sz w:val="20"/>
          <w:szCs w:val="20"/>
          <w:rtl w:val="0"/>
        </w:rPr>
        <w:t xml:space="preserve"> que dicha capa de normalización, aun estando de manera oficial dentro de la arquitectura generaba un deterioro en el patrón de reconocimiento de los datos por categoría al igual que de haberse normalizado en el preprocesamiento. Si bien esta anomalía es característica de contextos donde la diferenciación de los datos depende de la magnitud de sus valores, también cabe resaltar que a diferencia de otras arquitecturas entrenadas con el mismo dataset y normalizadas de igual manera, esta debido a su característica de extraer, retener y </w:t>
      </w:r>
      <w:r w:rsidDel="00000000" w:rsidR="00000000" w:rsidRPr="00000000">
        <w:rPr>
          <w:rFonts w:ascii="Times New Roman" w:cs="Times New Roman" w:eastAsia="Times New Roman" w:hAnsi="Times New Roman"/>
          <w:sz w:val="20"/>
          <w:szCs w:val="20"/>
          <w:rtl w:val="0"/>
        </w:rPr>
        <w:t xml:space="preserve">correlacionar</w:t>
      </w:r>
      <w:r w:rsidDel="00000000" w:rsidR="00000000" w:rsidRPr="00000000">
        <w:rPr>
          <w:rFonts w:ascii="Times New Roman" w:cs="Times New Roman" w:eastAsia="Times New Roman" w:hAnsi="Times New Roman"/>
          <w:sz w:val="20"/>
          <w:szCs w:val="20"/>
          <w:rtl w:val="0"/>
        </w:rPr>
        <w:t xml:space="preserve"> información en el largo plazo y mediante diferentes puntos de atención, </w:t>
      </w:r>
      <w:r w:rsidDel="00000000" w:rsidR="00000000" w:rsidRPr="00000000">
        <w:rPr>
          <w:rFonts w:ascii="Times New Roman" w:cs="Times New Roman" w:eastAsia="Times New Roman" w:hAnsi="Times New Roman"/>
          <w:sz w:val="20"/>
          <w:szCs w:val="20"/>
          <w:rtl w:val="0"/>
        </w:rPr>
        <w:t xml:space="preserve">permitio</w:t>
      </w:r>
      <w:r w:rsidDel="00000000" w:rsidR="00000000" w:rsidRPr="00000000">
        <w:rPr>
          <w:rFonts w:ascii="Times New Roman" w:cs="Times New Roman" w:eastAsia="Times New Roman" w:hAnsi="Times New Roman"/>
          <w:sz w:val="20"/>
          <w:szCs w:val="20"/>
          <w:rtl w:val="0"/>
        </w:rPr>
        <w:t xml:space="preserve"> que aun con un dataset normalizado (menor calidad) pueda obtener resultados por encima del promedio de otras arquitecturas de DL, aunque no menos mediocres e inútiles. Obteniendo un 50% de precisión en la clasificación. Cabe resaltar que en esta ocasión la categoría con mayor recall fue la categoría 3 (inactividad). A continuación, se presenta la matriz de confusión correspondiente.</w:t>
      </w:r>
    </w:p>
    <w:p w:rsidR="00000000" w:rsidDel="00000000" w:rsidP="00000000" w:rsidRDefault="00000000" w:rsidRPr="00000000" w14:paraId="0000007A">
      <w:pPr>
        <w:jc w:val="center"/>
        <w:rPr/>
      </w:pPr>
      <w:r w:rsidDel="00000000" w:rsidR="00000000" w:rsidRPr="00000000">
        <w:rPr/>
        <w:drawing>
          <wp:inline distB="114300" distT="114300" distL="114300" distR="114300">
            <wp:extent cx="2581275" cy="2146300"/>
            <wp:effectExtent b="0" l="0" r="0" t="0"/>
            <wp:docPr id="1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581275"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sz w:val="16"/>
          <w:szCs w:val="16"/>
        </w:rPr>
      </w:pPr>
      <w:r w:rsidDel="00000000" w:rsidR="00000000" w:rsidRPr="00000000">
        <w:rPr>
          <w:sz w:val="16"/>
          <w:szCs w:val="16"/>
          <w:rtl w:val="0"/>
        </w:rPr>
        <w:t xml:space="preserve">Fig. 43. Matriz de confusión del modelo Transformer normalizado.</w:t>
      </w:r>
    </w:p>
    <w:p w:rsidR="00000000" w:rsidDel="00000000" w:rsidP="00000000" w:rsidRDefault="00000000" w:rsidRPr="00000000" w14:paraId="0000007C">
      <w:pP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7D">
      <w:pPr>
        <w:numPr>
          <w:ilvl w:val="0"/>
          <w:numId w:val="5"/>
        </w:numPr>
        <w:spacing w:after="0" w:lineRule="auto"/>
        <w:ind w:left="720" w:hanging="360"/>
        <w:jc w:val="both"/>
        <w:rPr>
          <w:i w:val="1"/>
          <w:sz w:val="20"/>
          <w:szCs w:val="20"/>
        </w:rPr>
      </w:pPr>
      <w:r w:rsidDel="00000000" w:rsidR="00000000" w:rsidRPr="00000000">
        <w:rPr>
          <w:rFonts w:ascii="Times New Roman" w:cs="Times New Roman" w:eastAsia="Times New Roman" w:hAnsi="Times New Roman"/>
          <w:i w:val="1"/>
          <w:sz w:val="20"/>
          <w:szCs w:val="20"/>
          <w:rtl w:val="0"/>
        </w:rPr>
        <w:t xml:space="preserve">Modelo 3: Red transformer sin normalización</w:t>
      </w:r>
    </w:p>
    <w:p w:rsidR="00000000" w:rsidDel="00000000" w:rsidP="00000000" w:rsidRDefault="00000000" w:rsidRPr="00000000" w14:paraId="0000007E">
      <w:pPr>
        <w:spacing w:after="0" w:lineRule="auto"/>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7F">
      <w:pPr>
        <w:numPr>
          <w:ilvl w:val="0"/>
          <w:numId w:val="1"/>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divide los canales del archivo en 3 vectores de igual longitud</w:t>
      </w:r>
    </w:p>
    <w:p w:rsidR="00000000" w:rsidDel="00000000" w:rsidP="00000000" w:rsidRDefault="00000000" w:rsidRPr="00000000" w14:paraId="00000080">
      <w:pPr>
        <w:jc w:val="center"/>
        <w:rPr/>
      </w:pPr>
      <w:r w:rsidDel="00000000" w:rsidR="00000000" w:rsidRPr="00000000">
        <w:rPr/>
        <w:drawing>
          <wp:inline distB="0" distT="0" distL="0" distR="0">
            <wp:extent cx="1954493" cy="1076070"/>
            <wp:effectExtent b="0" l="0" r="0" t="0"/>
            <wp:docPr id="1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954493" cy="107607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sz w:val="16"/>
          <w:szCs w:val="16"/>
        </w:rPr>
      </w:pPr>
      <w:r w:rsidDel="00000000" w:rsidR="00000000" w:rsidRPr="00000000">
        <w:rPr>
          <w:sz w:val="16"/>
          <w:szCs w:val="16"/>
          <w:rtl w:val="0"/>
        </w:rPr>
        <w:t xml:space="preserve">Fig. 44. Unión de datos en 3 arreglos unidimensionales.</w:t>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numPr>
          <w:ilvl w:val="0"/>
          <w:numId w:val="1"/>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define la arquitectura del modelo Transformer sin ningún tipo de normalización</w:t>
      </w:r>
    </w:p>
    <w:p w:rsidR="00000000" w:rsidDel="00000000" w:rsidP="00000000" w:rsidRDefault="00000000" w:rsidRPr="00000000" w14:paraId="00000084">
      <w:pPr>
        <w:jc w:val="center"/>
        <w:rPr/>
      </w:pPr>
      <w:r w:rsidDel="00000000" w:rsidR="00000000" w:rsidRPr="00000000">
        <w:rPr/>
        <w:drawing>
          <wp:inline distB="114300" distT="114300" distL="114300" distR="114300">
            <wp:extent cx="2581275" cy="2032000"/>
            <wp:effectExtent b="0" l="0" r="0" t="0"/>
            <wp:docPr id="38"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2581275"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sz w:val="16"/>
          <w:szCs w:val="16"/>
        </w:rPr>
      </w:pPr>
      <w:r w:rsidDel="00000000" w:rsidR="00000000" w:rsidRPr="00000000">
        <w:rPr>
          <w:sz w:val="16"/>
          <w:szCs w:val="16"/>
          <w:rtl w:val="0"/>
        </w:rPr>
        <w:t xml:space="preserve">Fig. 45. Arquitectura del modelo transformer sin normalizar.</w:t>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numPr>
          <w:ilvl w:val="0"/>
          <w:numId w:val="1"/>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Graficación y diagramación del modelo</w:t>
      </w:r>
    </w:p>
    <w:p w:rsidR="00000000" w:rsidDel="00000000" w:rsidP="00000000" w:rsidRDefault="00000000" w:rsidRPr="00000000" w14:paraId="00000088">
      <w:pPr>
        <w:jc w:val="center"/>
        <w:rPr/>
      </w:pPr>
      <w:r w:rsidDel="00000000" w:rsidR="00000000" w:rsidRPr="00000000">
        <w:rPr/>
        <w:drawing>
          <wp:inline distB="114300" distT="114300" distL="114300" distR="114300">
            <wp:extent cx="1635760" cy="3734612"/>
            <wp:effectExtent b="0" l="0" r="0" t="0"/>
            <wp:docPr id="33" name="image30.jpg"/>
            <a:graphic>
              <a:graphicData uri="http://schemas.openxmlformats.org/drawingml/2006/picture">
                <pic:pic>
                  <pic:nvPicPr>
                    <pic:cNvPr id="0" name="image30.jpg"/>
                    <pic:cNvPicPr preferRelativeResize="0"/>
                  </pic:nvPicPr>
                  <pic:blipFill>
                    <a:blip r:embed="rId30"/>
                    <a:srcRect b="0" l="0" r="0" t="0"/>
                    <a:stretch>
                      <a:fillRect/>
                    </a:stretch>
                  </pic:blipFill>
                  <pic:spPr>
                    <a:xfrm>
                      <a:off x="0" y="0"/>
                      <a:ext cx="1635760" cy="373461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sz w:val="16"/>
          <w:szCs w:val="16"/>
        </w:rPr>
      </w:pPr>
      <w:r w:rsidDel="00000000" w:rsidR="00000000" w:rsidRPr="00000000">
        <w:rPr>
          <w:sz w:val="16"/>
          <w:szCs w:val="16"/>
          <w:rtl w:val="0"/>
        </w:rPr>
        <w:t xml:space="preserve">Fig. 46. Diagrama del modelo transformer sin normalizar.</w:t>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numPr>
          <w:ilvl w:val="0"/>
          <w:numId w:val="1"/>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Entrenamiento del modelo</w:t>
      </w:r>
    </w:p>
    <w:p w:rsidR="00000000" w:rsidDel="00000000" w:rsidP="00000000" w:rsidRDefault="00000000" w:rsidRPr="00000000" w14:paraId="0000008C">
      <w:pPr>
        <w:jc w:val="center"/>
        <w:rPr/>
      </w:pPr>
      <w:r w:rsidDel="00000000" w:rsidR="00000000" w:rsidRPr="00000000">
        <w:rPr/>
        <w:drawing>
          <wp:inline distB="114300" distT="114300" distL="114300" distR="114300">
            <wp:extent cx="2016760" cy="1204036"/>
            <wp:effectExtent b="0" l="0" r="0" t="0"/>
            <wp:docPr id="1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016760" cy="120403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sz w:val="16"/>
          <w:szCs w:val="16"/>
        </w:rPr>
      </w:pPr>
      <w:r w:rsidDel="00000000" w:rsidR="00000000" w:rsidRPr="00000000">
        <w:rPr>
          <w:sz w:val="16"/>
          <w:szCs w:val="16"/>
          <w:rtl w:val="0"/>
        </w:rPr>
        <w:t xml:space="preserve">Fig. 47. Entrenamiento del modelo.</w:t>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numPr>
          <w:ilvl w:val="0"/>
          <w:numId w:val="1"/>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Gráfica de la función de pérdida del entrenamiento</w:t>
      </w:r>
    </w:p>
    <w:p w:rsidR="00000000" w:rsidDel="00000000" w:rsidP="00000000" w:rsidRDefault="00000000" w:rsidRPr="00000000" w14:paraId="00000090">
      <w:pPr>
        <w:jc w:val="center"/>
        <w:rPr/>
      </w:pPr>
      <w:r w:rsidDel="00000000" w:rsidR="00000000" w:rsidRPr="00000000">
        <w:rPr/>
        <w:drawing>
          <wp:inline distB="114300" distT="114300" distL="114300" distR="114300">
            <wp:extent cx="2158365" cy="1697102"/>
            <wp:effectExtent b="0" l="0" r="0" t="0"/>
            <wp:docPr id="35" name="image34.jpg"/>
            <a:graphic>
              <a:graphicData uri="http://schemas.openxmlformats.org/drawingml/2006/picture">
                <pic:pic>
                  <pic:nvPicPr>
                    <pic:cNvPr id="0" name="image34.jpg"/>
                    <pic:cNvPicPr preferRelativeResize="0"/>
                  </pic:nvPicPr>
                  <pic:blipFill>
                    <a:blip r:embed="rId32"/>
                    <a:srcRect b="0" l="0" r="0" t="0"/>
                    <a:stretch>
                      <a:fillRect/>
                    </a:stretch>
                  </pic:blipFill>
                  <pic:spPr>
                    <a:xfrm>
                      <a:off x="0" y="0"/>
                      <a:ext cx="2158365" cy="169710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sz w:val="16"/>
          <w:szCs w:val="16"/>
        </w:rPr>
      </w:pPr>
      <w:r w:rsidDel="00000000" w:rsidR="00000000" w:rsidRPr="00000000">
        <w:rPr>
          <w:sz w:val="16"/>
          <w:szCs w:val="16"/>
          <w:rtl w:val="0"/>
        </w:rPr>
        <w:t xml:space="preserve">Fig. 48. Función de pérdida del entrenamiento.</w:t>
      </w:r>
    </w:p>
    <w:p w:rsidR="00000000" w:rsidDel="00000000" w:rsidP="00000000" w:rsidRDefault="00000000" w:rsidRPr="00000000" w14:paraId="00000092">
      <w:pPr>
        <w:jc w:val="center"/>
        <w:rPr/>
      </w:pPr>
      <w:r w:rsidDel="00000000" w:rsidR="00000000" w:rsidRPr="00000000">
        <w:rPr>
          <w:rtl w:val="0"/>
        </w:rPr>
      </w:r>
    </w:p>
    <w:p w:rsidR="00000000" w:rsidDel="00000000" w:rsidP="00000000" w:rsidRDefault="00000000" w:rsidRPr="00000000" w14:paraId="00000093">
      <w:pPr>
        <w:numPr>
          <w:ilvl w:val="0"/>
          <w:numId w:val="1"/>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MSE de evaluación del modelo con el dataset de testeo</w:t>
      </w:r>
    </w:p>
    <w:p w:rsidR="00000000" w:rsidDel="00000000" w:rsidP="00000000" w:rsidRDefault="00000000" w:rsidRPr="00000000" w14:paraId="00000094">
      <w:pPr>
        <w:jc w:val="center"/>
        <w:rPr/>
      </w:pPr>
      <w:r w:rsidDel="00000000" w:rsidR="00000000" w:rsidRPr="00000000">
        <w:rPr/>
        <w:drawing>
          <wp:inline distB="114300" distT="114300" distL="114300" distR="114300">
            <wp:extent cx="2581275" cy="584200"/>
            <wp:effectExtent b="0" l="0" r="0" t="0"/>
            <wp:docPr id="30"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2581275"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sz w:val="16"/>
          <w:szCs w:val="16"/>
        </w:rPr>
      </w:pPr>
      <w:r w:rsidDel="00000000" w:rsidR="00000000" w:rsidRPr="00000000">
        <w:rPr>
          <w:sz w:val="16"/>
          <w:szCs w:val="16"/>
          <w:rtl w:val="0"/>
        </w:rPr>
        <w:t xml:space="preserve">Fig. 49. MSE evaluación del modelo basado en datos de testeo.</w:t>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Resultados: </w:t>
      </w:r>
      <w:r w:rsidDel="00000000" w:rsidR="00000000" w:rsidRPr="00000000">
        <w:rPr>
          <w:rFonts w:ascii="Times New Roman" w:cs="Times New Roman" w:eastAsia="Times New Roman" w:hAnsi="Times New Roman"/>
          <w:sz w:val="20"/>
          <w:szCs w:val="20"/>
          <w:rtl w:val="0"/>
        </w:rPr>
        <w:t xml:space="preserve">Al igual que el anterior modelo, la arquitectura basada para este entrenamiento se enfocó en el uso de Transformers, pero como se ha mencionado anteriormente, y es un apartado clave para este análisis. La normalización en este modelo específico no se realizó, con el fin de analizar, evaluar y comprobar la importancia en la elección de incorporar o no este tipo de procesamiento en función del contexto y dataset escogidos. Permitiendo obtener unos resultados que contundentemente apoyan la necesidad de una mejor evaluación en la implementación indiscriminada de la normalización en modelos de DL.</w:t>
      </w:r>
    </w:p>
    <w:p w:rsidR="00000000" w:rsidDel="00000000" w:rsidP="00000000" w:rsidRDefault="00000000" w:rsidRPr="00000000" w14:paraId="00000098">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Específicamente, hablando en números, los resultados para este contexto se mostraron plenamente favorables a razón de no realizar normalización al dataset, ni siquiera en las capas propias de la arquitectura transformer. Logrando así, gracias a ello y a los beneficios que trae consigo esta arquitectura, una precisión global del 77%, y del 89% para la clasificación de la categoría 2, la cual es clave al tratarse de la identificación de patrones correspondientes al mal cepillado de dientes. Esto junto con un recall del 100%, permitiendo eliminar por completo la existencia de falsos negativos, aunque con un pequeño porcentaje de falsos positivos, que probablemente podrían mejorar con un aumento en el volumen de datos del dataset. A continuación se adjunta la matriz de confusión para más detalle.</w:t>
      </w:r>
    </w:p>
    <w:p w:rsidR="00000000" w:rsidDel="00000000" w:rsidP="00000000" w:rsidRDefault="00000000" w:rsidRPr="00000000" w14:paraId="00000099">
      <w:pPr>
        <w:jc w:val="center"/>
        <w:rPr/>
      </w:pPr>
      <w:r w:rsidDel="00000000" w:rsidR="00000000" w:rsidRPr="00000000">
        <w:rPr/>
        <w:drawing>
          <wp:inline distB="114300" distT="114300" distL="114300" distR="114300">
            <wp:extent cx="2581275" cy="2146300"/>
            <wp:effectExtent b="0" l="0" r="0" t="0"/>
            <wp:docPr id="12"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2581275"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sz w:val="16"/>
          <w:szCs w:val="16"/>
        </w:rPr>
      </w:pPr>
      <w:r w:rsidDel="00000000" w:rsidR="00000000" w:rsidRPr="00000000">
        <w:rPr>
          <w:sz w:val="16"/>
          <w:szCs w:val="16"/>
          <w:rtl w:val="0"/>
        </w:rPr>
        <w:t xml:space="preserve">Fig. 50. Matriz de confusión del modelo Transformer sin normalizar.</w:t>
      </w:r>
    </w:p>
    <w:p w:rsidR="00000000" w:rsidDel="00000000" w:rsidP="00000000" w:rsidRDefault="00000000" w:rsidRPr="00000000" w14:paraId="0000009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 PUNTO 2</w:t>
      </w:r>
    </w:p>
    <w:p w:rsidR="00000000" w:rsidDel="00000000" w:rsidP="00000000" w:rsidRDefault="00000000" w:rsidRPr="00000000" w14:paraId="0000009D">
      <w:pPr>
        <w:numPr>
          <w:ilvl w:val="0"/>
          <w:numId w:val="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Problemática</w:t>
      </w:r>
    </w:p>
    <w:p w:rsidR="00000000" w:rsidDel="00000000" w:rsidP="00000000" w:rsidRDefault="00000000" w:rsidRPr="00000000" w14:paraId="0000009E">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el contexto de una crisis global, como una pandemia o un evento climático extremo, las redes sociales se convierten en un barómetro vital de la respuesta pública. Monitorear, clasificar y comprender los sentimientos expresados puede proporcionar a los organismos de respuesta a emergencias, gobiernos y organizaciones de salud pública insights valiosos sobre la percepción del público, permitiéndoles ajustar sus estrategias de comunicación y respuesta en tiempo real. Este proyecto utiliza algoritmos avanzados de PLN para analizar tweets relacionados con la crisis, clasificando los sentimientos en múltiples categorías para obtener una comprensión matizada de la respuesta emocional del público.</w:t>
      </w:r>
    </w:p>
    <w:p w:rsidR="00000000" w:rsidDel="00000000" w:rsidP="00000000" w:rsidRDefault="00000000" w:rsidRPr="00000000" w14:paraId="0000009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numPr>
          <w:ilvl w:val="0"/>
          <w:numId w:val="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Introducción</w:t>
      </w:r>
    </w:p>
    <w:p w:rsidR="00000000" w:rsidDel="00000000" w:rsidP="00000000" w:rsidRDefault="00000000" w:rsidRPr="00000000" w14:paraId="000000A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la era de la información digital, la proliferación de redes sociales como Twitter ha proporcionado una plataforma sin precedentes para la expresión pública de opiniones y emociones. Durante eventos de gran impacto social, como una pandemia global, los datos generados por los usuarios en estas plataformas ofrecen una oportunidad única para analizar la respuesta emocional y las tendencias de sentimiento de la población en tiempo real. Este análisis no solo tiene implicaciones sociológicas significativas sino que también puede ser instrumental para los tomadores de decisiones y líderes de opinión en la formulación de estrategias de comunicación y políticas públicas.</w:t>
      </w:r>
    </w:p>
    <w:p w:rsidR="00000000" w:rsidDel="00000000" w:rsidP="00000000" w:rsidRDefault="00000000" w:rsidRPr="00000000" w14:paraId="000000A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trabajo presenta un enfoque computacional para la clasificación de sentimientos en tweets, implementando y comparando dos arquitecturas de modelos de procesamiento de lenguaje natural: Redes Neuronales Recurrentes (RNN) y el modelo Transformer, específicamente BERT (Bidirectional Encoder Representations from Transformers). Se seleccionó un dataset que comprende una variedad de tweets etiquetados con sentimientos, que representan un espectro de reacciones humanas en contextos de crisis. Se entrenaron ambos modelos en este conjunto de datos, con el objetivo de identificar cuál estructura de modelo es más efectiva en la clasificación precisa de los sentimientos.</w:t>
      </w:r>
    </w:p>
    <w:p w:rsidR="00000000" w:rsidDel="00000000" w:rsidP="00000000" w:rsidRDefault="00000000" w:rsidRPr="00000000" w14:paraId="000000A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lo largo del desarrollo, se documentaron las fases de preprocesamiento de datos, entrenamiento, validación y análisis comparativo de los modelos. Se presta especial atención a la interpretación de los resultados de cada modelo, evaluando no solo su precisión sino también su capacidad de generalización y su aplicabilidad práctica en escenarios del mundo real. El resultado es un marco de trabajo que puede ser desplegado para monitorear dinámicas sociales en tiempos de cambio y que puede ser extendido o adaptado para otras aplicaciones de análisis de sentimiento en redes sociales.</w:t>
      </w:r>
    </w:p>
    <w:p w:rsidR="00000000" w:rsidDel="00000000" w:rsidP="00000000" w:rsidRDefault="00000000" w:rsidRPr="00000000" w14:paraId="000000A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numPr>
          <w:ilvl w:val="0"/>
          <w:numId w:val="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Desarrollo</w:t>
      </w:r>
    </w:p>
    <w:p w:rsidR="00000000" w:rsidDel="00000000" w:rsidP="00000000" w:rsidRDefault="00000000" w:rsidRPr="00000000" w14:paraId="000000A8">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primera medida, se determina el uso de Google Colab para realizar el desarrollo de ambos modelos. Primero, se realizan las importaciones necesarias, incluyendo la conexión a Google Colab.</w:t>
      </w:r>
    </w:p>
    <w:p w:rsidR="00000000" w:rsidDel="00000000" w:rsidP="00000000" w:rsidRDefault="00000000" w:rsidRPr="00000000" w14:paraId="000000A9">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39763" cy="1813227"/>
            <wp:effectExtent b="0" l="0" r="0" t="0"/>
            <wp:docPr id="23"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2839763" cy="1813227"/>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Posterior a esto, se define la ruta al dataset y se carga para su uso de ahora en adelante.</w:t>
      </w:r>
    </w:p>
    <w:p w:rsidR="00000000" w:rsidDel="00000000" w:rsidP="00000000" w:rsidRDefault="00000000" w:rsidRPr="00000000" w14:paraId="000000AB">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68363" cy="617304"/>
            <wp:effectExtent b="0" l="0" r="0" t="0"/>
            <wp:docPr id="49"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3068363" cy="617304"/>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el siguiente código, se comienza con la extracción de las columnas de texto y etiquetas de sentimiento del dataset, convirtiendo todos los tweets a cadenas de texto para procesamiento uniforme. Se usa LabelEncoder para convertir las etiquetas categóricas de sentimiento en valores numéricos, permitiendo que el modelo las interprete de manera eficiente. Acto seguido, se tokeniza los tweets para descomponerlos en palabras individuales y los transformo en secuencias de números, aplicando pad_sequences para normalizar su longitud. Esto asegura que todos los datos de entrada tengan la misma forma, una etapa esencial para el entrenamiento de modelos de aprendizaje automático. Finalmente, las etiquetas numéricas son convertidas en vectores binarios one-hot y divido el conjunto de datos en dos: uno para entrenar el modelo y otro para validar su rendimiento y capacidad de generalización.</w:t>
      </w:r>
    </w:p>
    <w:p w:rsidR="00000000" w:rsidDel="00000000" w:rsidP="00000000" w:rsidRDefault="00000000" w:rsidRPr="00000000" w14:paraId="000000AD">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19450" cy="1625600"/>
            <wp:effectExtent b="0" l="0" r="0" t="0"/>
            <wp:docPr id="5"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32194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Posteriormente, se define el modelo. La estructura se inicia con una capa de entrada que recibe secuencias de longitud fija de 200 tokens. A continuación, una capa de embedding transforma cada token en un vector denso de 32 dimensiones, lo que permite que el modelo capte la semántica de las palabras en un espacio vectorial reducido. Dos capas de LSTM siguen al embedding, donde la primera procesa la secuencia con 64 unidades y la segunda refina la salida a 32 unidades, permitiendo al modelo capturar dependencias a largo plazo y patrones temporales en el texto. Finalmente, una capa densa conecta la salida de la LSTM con 4 unidades de salida, cada una correspondiente a una categoría de sentimiento, aplicando la función de activación softmax para obtener una distribución de probabilidad sobre las posibles clases.</w:t>
      </w:r>
    </w:p>
    <w:p w:rsidR="00000000" w:rsidDel="00000000" w:rsidP="00000000" w:rsidRDefault="00000000" w:rsidRPr="00000000" w14:paraId="000000A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92088" cy="3460742"/>
            <wp:effectExtent b="0" l="0" r="0" t="0"/>
            <wp:docPr id="34"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2392088" cy="346074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 gráficas presentadas a continuación reflejan la evolución de la precisión y la pérdida durante el proceso de entrenamiento y validación del modelo de clasificación de sentimientos. En la gráfica de la izquierda, se observa que el modelo está aprendiendo efectivamente de los datos proporcionados. La precisión de validación también mejora, aunque a un ritmo más lento, lo que sugiere que el modelo está generalizando bien a nuevos datos no vistos durante el entrenamiento. En la gráfica de la derecha, se muestra la pérdida de entrenamiento y de validación, descendiendo ambas conforme el modelo se ajusta mejor a los datos. Sin embargo, se debe estar atento al espacio entre las líneas de entrenamiento y validación, ya que una brecha grande puede ser indicativa de sobreajuste, donde el modelo aprende a memorizar los datos de entrenamiento en lugar de generalizar a partir de ellos.</w:t>
      </w:r>
    </w:p>
    <w:p w:rsidR="00000000" w:rsidDel="00000000" w:rsidP="00000000" w:rsidRDefault="00000000" w:rsidRPr="00000000" w14:paraId="000000B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19450" cy="1257300"/>
            <wp:effectExtent b="0" l="0" r="0" t="0"/>
            <wp:docPr id="16"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32194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matriz de confusión visualizada proporciona una representación detallada del rendimiento del modelo de clasificación. Cada celda muestra el número de predicciones hechas por el modelo versus las etiquetas reales del conjunto de datos de prueba. Las diagonales destacan las clasificaciones correctas, mientras que los otros valores indican la cantidad de confusiones entre clases. Esta matriz es una herramienta crucial para identificar las fortalezas y debilidades del modelo en la clasificación de diferentes sentimientos.</w:t>
      </w:r>
    </w:p>
    <w:p w:rsidR="00000000" w:rsidDel="00000000" w:rsidP="00000000" w:rsidRDefault="00000000" w:rsidRPr="00000000" w14:paraId="000000B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19450" cy="2527300"/>
            <wp:effectExtent b="0" l="0" r="0" t="0"/>
            <wp:docPr id="21"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32194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Ahora, a continuación, vemos un ejemplo de predicción. El resultado es óptimo.</w:t>
      </w:r>
    </w:p>
    <w:p w:rsidR="00000000" w:rsidDel="00000000" w:rsidP="00000000" w:rsidRDefault="00000000" w:rsidRPr="00000000" w14:paraId="000000B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63588" cy="1227521"/>
            <wp:effectExtent b="0" l="0" r="0" t="0"/>
            <wp:docPr id="37"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2963588" cy="122752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Ahora se probará el siguiente modelo, el cual consiste en un Transformer usando Bert. Se realiza la importación de las librerías necesarias para la realización de esta parte del ejercicio.</w:t>
      </w:r>
    </w:p>
    <w:p w:rsidR="00000000" w:rsidDel="00000000" w:rsidP="00000000" w:rsidRDefault="00000000" w:rsidRPr="00000000" w14:paraId="000000B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94312" cy="1025334"/>
            <wp:effectExtent b="0" l="0" r="0" t="0"/>
            <wp:docPr id="13"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3094312" cy="1025334"/>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siguiente código detalla el proceso de preparación de datos para su uso con BERT, un modelo de Transformer preentrenado para tareas de PLN. Comienza seleccionando y procesando las columnas relevantes del dataframe: los tweets se convierten a texto y las etiquetas de sentimiento se extraen directamente. Se utiliza LabelEncoder para transformar las etiquetas a una forma numérica, lo que es esencial para el tratamiento computacional posterior. La cantidad de clases únicas se determina, lo que es crucial para configurar la capa de salida del modelo.</w:t>
      </w:r>
    </w:p>
    <w:p w:rsidR="00000000" w:rsidDel="00000000" w:rsidP="00000000" w:rsidRDefault="00000000" w:rsidRPr="00000000" w14:paraId="000000B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Posteriormente, se inicializa el tokenizer de BERT y se preparan los tweets. El método encode_plus se emplea para tokenizar los tweets, agregar tokens especiales, definir una longitud máxima y generar las máscaras de atención necesarias para el modelo BERT. Estos pasos convierten el texto en una forma que BERT puede procesar, resultando en listas de identificadores y máscaras de atención que luego se convierten en arrays de NumPy, preparando así el conjunto de datos para el entrenamiento y la evaluación del modelo.</w:t>
      </w:r>
    </w:p>
    <w:p w:rsidR="00000000" w:rsidDel="00000000" w:rsidP="00000000" w:rsidRDefault="00000000" w:rsidRPr="00000000" w14:paraId="000000B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26213" cy="3246538"/>
            <wp:effectExtent b="0" l="0" r="0" t="0"/>
            <wp:docPr id="3"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2926213" cy="324653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código a continuación, se encarga de establecer el flujo de trabajo para el entrenamiento de un modelo Transformer en una tarea de clasificación de secuencias. Tras dividir los datos en subconjuntos de entrenamiento y validación, se inicializa un modelo TFBertForSequenceClassification con la arquitectura 'bert-base-uncased' y un número de etiquetas que refleja las clases del dataset. Se compila el modelo con el optimizador Adam y una función de pérdida específica para tratar con etiquetas dispersas y logits, una configuración común en tareas de clasificación con múltiples clases. Finalmente, se entrena el modelo usando estos datos, proporcionando la entrada tokenizada y las máscaras de atención, y se registra el historial de entrenamiento para su posterior análisis. Este enfoque permite aprovechar el potencial de BERT para capturar contextos complejos y relaciones entre palabras, lo cual es fundamental para comprender la naturaleza intrincada del lenguaje natural en las redes sociales.</w:t>
      </w:r>
    </w:p>
    <w:p w:rsidR="00000000" w:rsidDel="00000000" w:rsidP="00000000" w:rsidRDefault="00000000" w:rsidRPr="00000000" w14:paraId="000000B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96913" cy="2288389"/>
            <wp:effectExtent b="0" l="0" r="0" t="0"/>
            <wp:docPr id="9"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2896913" cy="228838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modelo se compone principalmente de la capa TFBertMainLayer, que es el núcleo del modelo BERT con más de 109 millones de parámetros, reflejando la profundidad y complejidad de la red. Además, incluye una capa de Dropout para la regularización, ayudando a prevenir el sobreajuste, y una capa Dense que funciona como clasificador, ajustando la salida de BERT a las categorías de etiquetas específicas del conjunto de datos. Con más de 109 millones de parámetros entrenables, este modelo es capaz de captar y procesar las sutilezas del lenguaje humano, lo que lo hace excepcionalmente potente para tareas de PLN como la clasificación de sentimiento. Es posible visualizar una imágen de la estructura del modelo a través de Google Drive. El archivo se llama “model_transformer.png”</w:t>
      </w:r>
    </w:p>
    <w:p w:rsidR="00000000" w:rsidDel="00000000" w:rsidP="00000000" w:rsidRDefault="00000000" w:rsidRPr="00000000" w14:paraId="000000B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19450" cy="1676400"/>
            <wp:effectExtent b="0" l="0" r="0" t="0"/>
            <wp:docPr id="31"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32194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guarda el modelo en Google Drive, y se analizan las gráficas que explican el resultado del entrenamiento.Se observa un aumento constante en la precisión de entrenamiento y validación, lo que indica que el modelo está aprendiendo adecuadamente y mejorando su capacidad predictiva con cada época. Por otro lado, la pérdida disminuye notablemente tanto en entrenamiento como en validación, sugiriendo que el modelo se está ajustando bien a los datos sin signos evidentes de sobreajuste, ya que las líneas de entrenamiento y validación se mantienen próximas entre sí. Estas tendencias positivas en las métricas son indicativas de un modelo robusto y eficaz en la tarea de discernir los sentimientos expresados en los datos.</w:t>
      </w:r>
    </w:p>
    <w:p w:rsidR="00000000" w:rsidDel="00000000" w:rsidP="00000000" w:rsidRDefault="00000000" w:rsidRPr="00000000" w14:paraId="000000C1">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19450" cy="1257300"/>
            <wp:effectExtent b="0" l="0" r="0" t="0"/>
            <wp:docPr id="29"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32194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matriz de confusión mostrada refleja la capacidad del modelo Transformer para clasificar correctamente los sentimientos expresados en tweets. Las celdas a lo largo de la diagonal principal representan las instancias donde las predicciones coinciden con las etiquetas verdaderas, indicando aciertos del modelo. Las celdas fuera de la diagonal principal señalan las ocasiones en que el modelo ha confundido una etiqueta por otra. Aunque la mayoría de las predicciones son correctas, como se evidencia en la concentración de valores más altos en la diagonal, también hay errores notables que sugieren áreas de mejora, particularmente en la diferenciación entre algunas clases específicas.</w:t>
      </w:r>
    </w:p>
    <w:p w:rsidR="00000000" w:rsidDel="00000000" w:rsidP="00000000" w:rsidRDefault="00000000" w:rsidRPr="00000000" w14:paraId="000000C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51941" cy="2687144"/>
            <wp:effectExtent b="0" l="0" r="0" t="0"/>
            <wp:docPr id="42"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2551941" cy="268714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5">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Finalmente, se realiza una predicción real del modelo, como se ve a continuación. Se realizaron varias, y el equipo de trabajo notó la superioridad de este modelo con respecto al anterior.</w:t>
      </w:r>
    </w:p>
    <w:p w:rsidR="00000000" w:rsidDel="00000000" w:rsidP="00000000" w:rsidRDefault="00000000" w:rsidRPr="00000000" w14:paraId="000000C6">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19450" cy="914400"/>
            <wp:effectExtent b="0" l="0" r="0" t="0"/>
            <wp:docPr id="48" name="image44.png"/>
            <a:graphic>
              <a:graphicData uri="http://schemas.openxmlformats.org/drawingml/2006/picture">
                <pic:pic>
                  <pic:nvPicPr>
                    <pic:cNvPr id="0" name="image44.png"/>
                    <pic:cNvPicPr preferRelativeResize="0"/>
                  </pic:nvPicPr>
                  <pic:blipFill>
                    <a:blip r:embed="rId48"/>
                    <a:srcRect b="0" l="0" r="0" t="0"/>
                    <a:stretch>
                      <a:fillRect/>
                    </a:stretch>
                  </pic:blipFill>
                  <pic:spPr>
                    <a:xfrm>
                      <a:off x="0" y="0"/>
                      <a:ext cx="32194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conclusión, la comparativa entre los modelos RNN y Transformer para la clasificación de sentimientos en tweets ha demostrado la superioridad del Transformer, específicamente BERT, en términos de precisión y generalización. Los resultados obtenidos reflejan que BERT no solo aprende con mayor eficacia las complejidades del lenguaje natural contenidas en los datos de entrenamiento, sino que también mantiene una notable capacidad de adaptación a nuevos datos, como lo evidencia la consistencia en la precisión de validación. La menor brecha entre las métricas de entrenamiento y validación en BERT frente al RNN respalda su robustez y menor susceptibilidad al sobreajuste, destacando su idoneidad para el análisis en tiempo real de sentimientos en plataformas dinámicas como Twitter.</w:t>
      </w:r>
    </w:p>
    <w:p w:rsidR="00000000" w:rsidDel="00000000" w:rsidP="00000000" w:rsidRDefault="00000000" w:rsidRPr="00000000" w14:paraId="000000C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Además, la matriz de confusión del modelo BERT subraya su capacidad para discernir adecuadamente entre distintas categorías de sentimiento, incluso en casos sutiles donde el contexto y la intención pueden ser difíciles de capturar. Este nivel de precisión en la clasificación es crítico en aplicaciones del mundo real, donde comprender correctamente la intención del usuario puede tener implicaciones significativas para la toma de decisiones empresariales y la gestión de la comunicación en situaciones de crisis. Por tanto, BERT emerge como la elección preferente para aplicaciones que requieren no solo un alto rendimiento, sino también una interpretación detallada y matizada del lenguaje humano.</w:t>
      </w:r>
    </w:p>
    <w:p w:rsidR="00000000" w:rsidDel="00000000" w:rsidP="00000000" w:rsidRDefault="00000000" w:rsidRPr="00000000" w14:paraId="000000C9">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III. PUNTO 3</w:t>
      </w:r>
    </w:p>
    <w:p w:rsidR="00000000" w:rsidDel="00000000" w:rsidP="00000000" w:rsidRDefault="00000000" w:rsidRPr="00000000" w14:paraId="000000C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trabajar el </w:t>
      </w:r>
      <w:r w:rsidDel="00000000" w:rsidR="00000000" w:rsidRPr="00000000">
        <w:rPr>
          <w:rFonts w:ascii="Times New Roman" w:cs="Times New Roman" w:eastAsia="Times New Roman" w:hAnsi="Times New Roman"/>
          <w:sz w:val="20"/>
          <w:szCs w:val="20"/>
          <w:rtl w:val="0"/>
        </w:rPr>
        <w:t xml:space="preserve">punto número 3 se determinó en realizar una herramienta que sirviera en poner subtítulos en un podcast o audio de español  , en el que le pasaras un audio en español con extensión .wav  y este te devuelve  la transcripción del audio , la traducción de ese audio a ingles , dos archivos .json de la línea de tiempo en español y en inglés . </w:t>
      </w:r>
    </w:p>
    <w:p w:rsidR="00000000" w:rsidDel="00000000" w:rsidP="00000000" w:rsidRDefault="00000000" w:rsidRPr="00000000" w14:paraId="000000C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Esto se realizó para la transcripción del audio usando whisper y para la traducción se uso transformers usando pipelines usando el modelo traduccion  de huggin face  de español a ingles “</w:t>
      </w:r>
      <w:r w:rsidDel="00000000" w:rsidR="00000000" w:rsidRPr="00000000">
        <w:rPr>
          <w:rFonts w:ascii="Times New Roman" w:cs="Times New Roman" w:eastAsia="Times New Roman" w:hAnsi="Times New Roman"/>
          <w:sz w:val="20"/>
          <w:szCs w:val="20"/>
          <w:rtl w:val="0"/>
        </w:rPr>
        <w:t xml:space="preserve">Helsinki-NLP/opus-mt-es-en</w:t>
      </w:r>
      <w:r w:rsidDel="00000000" w:rsidR="00000000" w:rsidRPr="00000000">
        <w:rPr>
          <w:rFonts w:ascii="Times New Roman" w:cs="Times New Roman" w:eastAsia="Times New Roman" w:hAnsi="Times New Roman"/>
          <w:sz w:val="20"/>
          <w:szCs w:val="20"/>
          <w:rtl w:val="0"/>
        </w:rPr>
        <w:t xml:space="preserve">”  ver en :</w:t>
      </w:r>
      <w:hyperlink r:id="rId49">
        <w:r w:rsidDel="00000000" w:rsidR="00000000" w:rsidRPr="00000000">
          <w:rPr>
            <w:rFonts w:ascii="Times New Roman" w:cs="Times New Roman" w:eastAsia="Times New Roman" w:hAnsi="Times New Roman"/>
            <w:color w:val="1155cc"/>
            <w:sz w:val="20"/>
            <w:szCs w:val="20"/>
            <w:u w:val="single"/>
            <w:rtl w:val="0"/>
          </w:rPr>
          <w:t xml:space="preserve">https://huggingface.co/Helsinki-NLP/opus-mt-es-en</w:t>
        </w:r>
      </w:hyperlink>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integración fue realizada con Gradio en donde se sube los archivo de audio .wav  en español y este a lado derecho se visualizará la transcripción de texto de español  y su traduccion al ingles , ademas tambien se visualizará el timeline de la transcripción en español y en inglés, este “timeline” se visualiza el tiempo donde  empieza  y termina la frase , esto es útil para la creación de subtítulos por lo que esta herramienta ayudará a la creación de subtítulos en español e inglés.</w:t>
      </w:r>
    </w:p>
    <w:p w:rsidR="00000000" w:rsidDel="00000000" w:rsidP="00000000" w:rsidRDefault="00000000" w:rsidRPr="00000000" w14:paraId="000000C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muestra cual sería la interfaz , en donde se debe de cargar el archivo de audio . wav</w:t>
      </w:r>
    </w:p>
    <w:p w:rsidR="00000000" w:rsidDel="00000000" w:rsidP="00000000" w:rsidRDefault="00000000" w:rsidRPr="00000000" w14:paraId="000000C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38781" cy="1274269"/>
            <wp:effectExtent b="0" l="0" r="0" t="0"/>
            <wp:docPr id="45"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3338781" cy="1274269"/>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Después de cargado y subido, se espera hasta que finalice:</w:t>
      </w:r>
    </w:p>
    <w:p w:rsidR="00000000" w:rsidDel="00000000" w:rsidP="00000000" w:rsidRDefault="00000000" w:rsidRPr="00000000" w14:paraId="000000D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19450" cy="1765300"/>
            <wp:effectExtent b="0" l="0" r="0" t="0"/>
            <wp:docPr id="20"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32194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19450" cy="1524000"/>
            <wp:effectExtent b="0" l="0" r="0" t="0"/>
            <wp:docPr id="28"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32194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donde se muestra cuatro apartados anteriormente mencionados , estos archivos se guardan en el entorno local.</w:t>
      </w:r>
    </w:p>
    <w:p w:rsidR="00000000" w:rsidDel="00000000" w:rsidP="00000000" w:rsidRDefault="00000000" w:rsidRPr="00000000" w14:paraId="000000D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181225" cy="1076325"/>
            <wp:effectExtent b="0" l="0" r="0" t="0"/>
            <wp:docPr id="26"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21812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Como se observa la transcripción y el timeline es gracias a Whisper. Este funciona debido a que Whisper es un sistema de reconocimiento automático de voz (ASR) entrenado en 680.000 horas de datos supervisados multilingües y multitarea recopilados de la web. Mostramos que el uso de un conjunto de datos tan grande y diverso conduce a una mayor solidez ante los acentos, el ruido de fondo y el lenguaje técnico. Además, permite la transcripción en varios idiomas, así como la traducción de esos idiomas al inglés. Son modelos de código abierto y código de inferencia que sirven como base para crear aplicaciones útiles y para futuras investigaciones sobre el procesamiento sólido del habla.</w:t>
      </w:r>
    </w:p>
    <w:p w:rsidR="00000000" w:rsidDel="00000000" w:rsidP="00000000" w:rsidRDefault="00000000" w:rsidRPr="00000000" w14:paraId="000000D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01939" cy="2193725"/>
            <wp:effectExtent b="0" l="0" r="0" t="0"/>
            <wp:docPr id="50"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3001939" cy="21937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arquitectura Whisper es un enfoque simple de extremo a extremo, implementado como un transformador codificador-decodificador. El audio de entrada se divide en fragmentos de 30 segundos, se convierte en un espectrograma log-Mel y luego se pasa a un codificador. Se entrena a un decodificador para predecir el título de texto correspondiente, entremezclado con tokens especiales que dirigen al modelo único a realizar tareas como identificación de idioma, marcas de tiempo a nivel de frase, transcripción de voz multilingüe y traducción de voz al inglés.[10]</w:t>
      </w:r>
    </w:p>
    <w:p w:rsidR="00000000" w:rsidDel="00000000" w:rsidP="00000000" w:rsidRDefault="00000000" w:rsidRPr="00000000" w14:paraId="000000D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19450" cy="584200"/>
            <wp:effectExtent b="0" l="0" r="0" t="0"/>
            <wp:docPr id="27"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321945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Combinando el modelo de traducción de español a ingles fue éxito porque este modelo “Helsinki-NLP/opus-mt-es-en” se evidencia en sus benchmarks </w:t>
      </w:r>
    </w:p>
    <w:p w:rsidR="00000000" w:rsidDel="00000000" w:rsidP="00000000" w:rsidRDefault="00000000" w:rsidRPr="00000000" w14:paraId="000000D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73113" cy="1926366"/>
            <wp:effectExtent b="0" l="0" r="0" t="0"/>
            <wp:docPr id="7"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2973113" cy="1926366"/>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IV. CONCLUSIONES</w:t>
      </w:r>
    </w:p>
    <w:p w:rsidR="00000000" w:rsidDel="00000000" w:rsidP="00000000" w:rsidRDefault="00000000" w:rsidRPr="00000000" w14:paraId="000000D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desarrollo y la creación de diferentes librerías ya consolidadas en torno al mundo de la inteligencia artificial, específicamente del aprendizaje profundo, permite acercar este tipo de enfoques complicados a simple vista, a cada vez más personas con una facilidad técnica que se reduce a aprender únicamente la teoría base detrás de ellas, permitiendo dirigir mayor atención a la recolección, diseño y análisis de datos sin limitaciones.</w:t>
      </w:r>
    </w:p>
    <w:p w:rsidR="00000000" w:rsidDel="00000000" w:rsidP="00000000" w:rsidRDefault="00000000" w:rsidRPr="00000000" w14:paraId="000000D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bien es sabido que el costo computacional de un método de aprendizaje profundo (DL) frente a uno de aprendizaje automático (ML) es más alto, la historia ha demostrado y el desarrollo tecnológico exponencial ha permitido reducir paulatinamente esta desventaja y consolidar cada vez más al campo del DL como uno de los enfoques con mayor potencial de crecimiento a futuro gracias a su funcionamiento que se potencia en la correlación del entorno; su integración con diferentes campos como IoT, visión computacional, Big Data; la confiabilidad que lo precede; así como el crecimiento y amplio margen de mejora en el largo plazo.</w:t>
      </w:r>
    </w:p>
    <w:p w:rsidR="00000000" w:rsidDel="00000000" w:rsidP="00000000" w:rsidRDefault="00000000" w:rsidRPr="00000000" w14:paraId="000000D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RECONOCIMIENTOS</w:t>
      </w:r>
    </w:p>
    <w:p w:rsidR="00000000" w:rsidDel="00000000" w:rsidP="00000000" w:rsidRDefault="00000000" w:rsidRPr="00000000" w14:paraId="000000D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documento tiene un enfoque práctico y académico que pretende ser de fácil entendimiento y cuenta con un nivel de profundidad relativamente superficial, pero no hubiese sido posible sin las enseñanzas y material impartido por el profesor Jesús A. López y el programa de Especialización en Inteligencia Artificial de la Universidad Autónoma de Occidente.</w:t>
      </w: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7">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C">
      <w:pPr>
        <w:jc w:val="left"/>
        <w:rPr>
          <w:rFonts w:ascii="Times New Roman" w:cs="Times New Roman" w:eastAsia="Times New Roman" w:hAnsi="Times New Roman"/>
          <w:sz w:val="20"/>
          <w:szCs w:val="20"/>
        </w:rPr>
        <w:sectPr>
          <w:type w:val="continuous"/>
          <w:pgSz w:h="15840" w:w="12240" w:orient="portrait"/>
          <w:pgMar w:bottom="1009.1338582677166" w:top="1009.1338582677166" w:left="935.4330708661417" w:right="935.4330708661417" w:header="708" w:footer="708"/>
          <w:cols w:equalWidth="0" w:num="2">
            <w:col w:space="238.11023622047244" w:w="5065.5"/>
            <w:col w:space="0" w:w="5065.5"/>
          </w:cols>
        </w:sectPr>
      </w:pPr>
      <w:r w:rsidDel="00000000" w:rsidR="00000000" w:rsidRPr="00000000">
        <w:rPr>
          <w:rtl w:val="0"/>
        </w:rPr>
      </w:r>
    </w:p>
    <w:p w:rsidR="00000000" w:rsidDel="00000000" w:rsidP="00000000" w:rsidRDefault="00000000" w:rsidRPr="00000000" w14:paraId="000000E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REFERENCIAS</w:t>
      </w:r>
    </w:p>
    <w:p w:rsidR="00000000" w:rsidDel="00000000" w:rsidP="00000000" w:rsidRDefault="00000000" w:rsidRPr="00000000" w14:paraId="000000EE">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“La OMS destaca que el descuido de la salud bucodental afecta a casi la mitad de la población mundial”. World Health Organization (WHO). Accedido el 3 de noviembre de 2023. [En línea]. Disponible: </w:t>
      </w:r>
      <w:hyperlink r:id="rId57">
        <w:r w:rsidDel="00000000" w:rsidR="00000000" w:rsidRPr="00000000">
          <w:rPr>
            <w:rFonts w:ascii="Times New Roman" w:cs="Times New Roman" w:eastAsia="Times New Roman" w:hAnsi="Times New Roman"/>
            <w:sz w:val="20"/>
            <w:szCs w:val="20"/>
            <w:u w:val="single"/>
            <w:rtl w:val="0"/>
          </w:rPr>
          <w:t xml:space="preserve">https://www.who.int/es/news/item/18-11-2022-who-highlights-oral-health-neglect-affecting-nearly-half-of-the-world-s-population</w:t>
        </w:r>
      </w:hyperlink>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N. Pallarés Martínez, “Relación de la deficiente higiene bucal y la consecuente aparición de patologías bucales con las enfermedades cardiovasculares.”, Trabajo de grado, Univ. Jaume I, Castellón de la Plana, 2019.</w:t>
      </w:r>
    </w:p>
    <w:p w:rsidR="00000000" w:rsidDel="00000000" w:rsidP="00000000" w:rsidRDefault="00000000" w:rsidRPr="00000000" w14:paraId="000000F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“Ni nos lavamos los dientes lo suficiente ni sabemos cuidar del cepillo”. El País. Accedido el 3 de noviembre de 2023. [En línea]. Disponible: </w:t>
      </w:r>
      <w:hyperlink r:id="rId58">
        <w:r w:rsidDel="00000000" w:rsidR="00000000" w:rsidRPr="00000000">
          <w:rPr>
            <w:rFonts w:ascii="Times New Roman" w:cs="Times New Roman" w:eastAsia="Times New Roman" w:hAnsi="Times New Roman"/>
            <w:sz w:val="20"/>
            <w:szCs w:val="20"/>
            <w:u w:val="single"/>
            <w:rtl w:val="0"/>
          </w:rPr>
          <w:t xml:space="preserve">https://elpais.com/elpais/2020/02/19/buenavida/1582130938_406935.html</w:t>
        </w:r>
      </w:hyperlink>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w:t>
      </w:r>
      <w:r w:rsidDel="00000000" w:rsidR="00000000" w:rsidRPr="00000000">
        <w:rPr>
          <w:rFonts w:ascii="Times New Roman" w:cs="Times New Roman" w:eastAsia="Times New Roman" w:hAnsi="Times New Roman"/>
          <w:i w:val="1"/>
          <w:sz w:val="20"/>
          <w:szCs w:val="20"/>
          <w:rtl w:val="0"/>
        </w:rPr>
        <w:t xml:space="preserve">Caras de los dientes | Dentistry student, Dental, Dentistry</w:t>
      </w:r>
      <w:r w:rsidDel="00000000" w:rsidR="00000000" w:rsidRPr="00000000">
        <w:rPr>
          <w:rFonts w:ascii="Times New Roman" w:cs="Times New Roman" w:eastAsia="Times New Roman" w:hAnsi="Times New Roman"/>
          <w:sz w:val="20"/>
          <w:szCs w:val="20"/>
          <w:rtl w:val="0"/>
        </w:rPr>
        <w:t xml:space="preserve">. Accedido el 3 de noviembre de 2023. [Imagen]. Disponible: </w:t>
      </w:r>
      <w:hyperlink r:id="rId59">
        <w:r w:rsidDel="00000000" w:rsidR="00000000" w:rsidRPr="00000000">
          <w:rPr>
            <w:rFonts w:ascii="Times New Roman" w:cs="Times New Roman" w:eastAsia="Times New Roman" w:hAnsi="Times New Roman"/>
            <w:sz w:val="20"/>
            <w:szCs w:val="20"/>
            <w:u w:val="single"/>
            <w:rtl w:val="0"/>
          </w:rPr>
          <w:t xml:space="preserve">https://co.pinterest.com/pin/55098795436015098/</w:t>
        </w:r>
      </w:hyperlink>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W. You, A. Hao, S. Li, Y. Wang y Bin Xia. “Deep learning-based dental plaque detection on primary teeth: a comparison with clinical assessments - BMC Oral Health”. BioMed Central. Accedido el 3 de noviembre de 2023. [En línea]. Disponible: </w:t>
      </w:r>
      <w:hyperlink r:id="rId60">
        <w:r w:rsidDel="00000000" w:rsidR="00000000" w:rsidRPr="00000000">
          <w:rPr>
            <w:rFonts w:ascii="Times New Roman" w:cs="Times New Roman" w:eastAsia="Times New Roman" w:hAnsi="Times New Roman"/>
            <w:sz w:val="20"/>
            <w:szCs w:val="20"/>
            <w:u w:val="single"/>
            <w:rtl w:val="0"/>
          </w:rPr>
          <w:t xml:space="preserve">https://bmcoralhealth.biomedcentral.com/articles/10.1186/s12903-020-01114-6</w:t>
        </w:r>
      </w:hyperlink>
      <w:r w:rsidDel="00000000" w:rsidR="00000000" w:rsidRPr="00000000">
        <w:rPr>
          <w:rtl w:val="0"/>
        </w:rPr>
      </w:r>
    </w:p>
    <w:p w:rsidR="00000000" w:rsidDel="00000000" w:rsidP="00000000" w:rsidRDefault="00000000" w:rsidRPr="00000000" w14:paraId="000000F4">
      <w:pPr>
        <w:spacing w:after="15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Jesus A. Lopez </w:t>
      </w:r>
      <w:r w:rsidDel="00000000" w:rsidR="00000000" w:rsidRPr="00000000">
        <w:rPr>
          <w:rFonts w:ascii="Times New Roman" w:cs="Times New Roman" w:eastAsia="Times New Roman" w:hAnsi="Times New Roman"/>
          <w:color w:val="333333"/>
          <w:sz w:val="20"/>
          <w:szCs w:val="20"/>
          <w:rtl w:val="0"/>
        </w:rPr>
        <w:t xml:space="preserve">"Procesamiento de datos secuenciales", códigos de clase 521376-EEA2, Facultad de ingeniería, Universidad Autónoma de Occidente, Octubre 2023.</w:t>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Edge Impulse Inc. </w:t>
      </w:r>
      <w:r w:rsidDel="00000000" w:rsidR="00000000" w:rsidRPr="00000000">
        <w:rPr>
          <w:rFonts w:ascii="Times New Roman" w:cs="Times New Roman" w:eastAsia="Times New Roman" w:hAnsi="Times New Roman"/>
          <w:i w:val="1"/>
          <w:sz w:val="20"/>
          <w:szCs w:val="20"/>
          <w:rtl w:val="0"/>
        </w:rPr>
        <w:t xml:space="preserve">Edge Impulse</w:t>
      </w:r>
      <w:r w:rsidDel="00000000" w:rsidR="00000000" w:rsidRPr="00000000">
        <w:rPr>
          <w:rFonts w:ascii="Times New Roman" w:cs="Times New Roman" w:eastAsia="Times New Roman" w:hAnsi="Times New Roman"/>
          <w:sz w:val="20"/>
          <w:szCs w:val="20"/>
          <w:rtl w:val="0"/>
        </w:rPr>
        <w:t xml:space="preserve">. (Data collect and processing).</w:t>
      </w:r>
    </w:p>
    <w:p w:rsidR="00000000" w:rsidDel="00000000" w:rsidP="00000000" w:rsidRDefault="00000000" w:rsidRPr="00000000" w14:paraId="000000F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Google. </w:t>
      </w:r>
      <w:r w:rsidDel="00000000" w:rsidR="00000000" w:rsidRPr="00000000">
        <w:rPr>
          <w:rFonts w:ascii="Times New Roman" w:cs="Times New Roman" w:eastAsia="Times New Roman" w:hAnsi="Times New Roman"/>
          <w:i w:val="1"/>
          <w:sz w:val="20"/>
          <w:szCs w:val="20"/>
          <w:rtl w:val="0"/>
        </w:rPr>
        <w:t xml:space="preserve">Google Colaboratory</w:t>
      </w:r>
      <w:r w:rsidDel="00000000" w:rsidR="00000000" w:rsidRPr="00000000">
        <w:rPr>
          <w:rFonts w:ascii="Times New Roman" w:cs="Times New Roman" w:eastAsia="Times New Roman" w:hAnsi="Times New Roman"/>
          <w:sz w:val="20"/>
          <w:szCs w:val="20"/>
          <w:rtl w:val="0"/>
        </w:rPr>
        <w:t xml:space="preserve">. (Model training powered by Python).</w:t>
      </w:r>
    </w:p>
    <w:p w:rsidR="00000000" w:rsidDel="00000000" w:rsidP="00000000" w:rsidRDefault="00000000" w:rsidRPr="00000000" w14:paraId="000000F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“Fine-tuning a model for music classification - Hugging Face Audio Course”. Hugging Face – The AI community building the future. Accedido el 2 de noviembre de 2023. [En línea]. Disponible: </w:t>
      </w:r>
      <w:hyperlink r:id="rId61">
        <w:r w:rsidDel="00000000" w:rsidR="00000000" w:rsidRPr="00000000">
          <w:rPr>
            <w:rFonts w:ascii="Times New Roman" w:cs="Times New Roman" w:eastAsia="Times New Roman" w:hAnsi="Times New Roman"/>
            <w:sz w:val="20"/>
            <w:szCs w:val="20"/>
            <w:u w:val="single"/>
            <w:rtl w:val="0"/>
          </w:rPr>
          <w:t xml:space="preserve">https://huggingface.co/learn/audio-course/chapter4/fine-tuning</w:t>
        </w:r>
      </w:hyperlink>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0"/>
          <w:szCs w:val="20"/>
        </w:rPr>
        <w:sectPr>
          <w:type w:val="continuous"/>
          <w:pgSz w:h="15840" w:w="12240" w:orient="portrait"/>
          <w:pgMar w:bottom="1009.1338582677166" w:top="1009.1338582677166" w:left="935.4330708661417" w:right="935.4330708661417" w:header="708" w:footer="708"/>
          <w:cols w:equalWidth="0" w:num="1">
            <w:col w:space="0" w:w="10369.12"/>
          </w:cols>
        </w:sectPr>
      </w:pP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Fonts w:ascii="Times New Roman" w:cs="Times New Roman" w:eastAsia="Times New Roman" w:hAnsi="Times New Roman"/>
          <w:sz w:val="20"/>
          <w:szCs w:val="20"/>
          <w:rtl w:val="0"/>
        </w:rPr>
        <w:t xml:space="preserve">Introducing Whisper</w:t>
      </w:r>
      <w:r w:rsidDel="00000000" w:rsidR="00000000" w:rsidRPr="00000000">
        <w:rPr>
          <w:rFonts w:ascii="Times New Roman" w:cs="Times New Roman" w:eastAsia="Times New Roman" w:hAnsi="Times New Roman"/>
          <w:sz w:val="20"/>
          <w:szCs w:val="20"/>
          <w:rtl w:val="0"/>
        </w:rPr>
        <w:t xml:space="preserve">. (s.f.). OpenAI. </w:t>
      </w:r>
      <w:hyperlink r:id="rId62">
        <w:r w:rsidDel="00000000" w:rsidR="00000000" w:rsidRPr="00000000">
          <w:rPr>
            <w:rFonts w:ascii="Times New Roman" w:cs="Times New Roman" w:eastAsia="Times New Roman" w:hAnsi="Times New Roman"/>
            <w:sz w:val="20"/>
            <w:szCs w:val="20"/>
            <w:rtl w:val="0"/>
          </w:rPr>
          <w:t xml:space="preserve">https://openai.com/research/whisper</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1009.1338582677166" w:top="1009.1338582677166" w:left="935.4330708661417" w:right="935.4330708661417" w:header="708" w:footer="708"/>
          <w:cols w:equalWidth="0" w:num="2">
            <w:col w:space="238.11023622047244" w:w="5065.5"/>
            <w:col w:space="0" w:w="5065.5"/>
          </w:cols>
        </w:sectPr>
      </w:pPr>
      <w:r w:rsidDel="00000000" w:rsidR="00000000" w:rsidRPr="00000000">
        <w:rPr>
          <w:rtl w:val="0"/>
        </w:rPr>
      </w:r>
    </w:p>
    <w:p w:rsidR="00000000" w:rsidDel="00000000" w:rsidP="00000000" w:rsidRDefault="00000000" w:rsidRPr="00000000" w14:paraId="000000F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sectPr>
      <w:type w:val="continuous"/>
      <w:pgSz w:h="15840" w:w="12240"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rFonts w:ascii="Courier New" w:cs="Courier New" w:eastAsia="Courier New" w:hAnsi="Courier New"/>
      </w:rPr>
    </w:lvl>
    <w:lvl w:ilvl="2">
      <w:start w:val="1"/>
      <w:numFmt w:val="lowerRoman"/>
      <w:lvlText w:val="%3."/>
      <w:lvlJc w:val="right"/>
      <w:pPr>
        <w:ind w:left="2160" w:hanging="360"/>
      </w:pPr>
      <w:rPr>
        <w:rFonts w:ascii="Noto Sans Symbols" w:cs="Noto Sans Symbols" w:eastAsia="Noto Sans Symbols" w:hAnsi="Noto Sans Symbols"/>
      </w:rPr>
    </w:lvl>
    <w:lvl w:ilvl="3">
      <w:start w:val="1"/>
      <w:numFmt w:val="decimal"/>
      <w:lvlText w:val="%4."/>
      <w:lvlJc w:val="left"/>
      <w:pPr>
        <w:ind w:left="2880" w:hanging="360"/>
      </w:pPr>
      <w:rPr>
        <w:rFonts w:ascii="Noto Sans Symbols" w:cs="Noto Sans Symbols" w:eastAsia="Noto Sans Symbols" w:hAnsi="Noto Sans Symbols"/>
      </w:rPr>
    </w:lvl>
    <w:lvl w:ilvl="4">
      <w:start w:val="1"/>
      <w:numFmt w:val="lowerLetter"/>
      <w:lvlText w:val="%5."/>
      <w:lvlJc w:val="left"/>
      <w:pPr>
        <w:ind w:left="3600" w:hanging="360"/>
      </w:pPr>
      <w:rPr>
        <w:rFonts w:ascii="Courier New" w:cs="Courier New" w:eastAsia="Courier New" w:hAnsi="Courier New"/>
      </w:rPr>
    </w:lvl>
    <w:lvl w:ilvl="5">
      <w:start w:val="1"/>
      <w:numFmt w:val="lowerRoman"/>
      <w:lvlText w:val="%6."/>
      <w:lvlJc w:val="right"/>
      <w:pPr>
        <w:ind w:left="4320" w:hanging="360"/>
      </w:pPr>
      <w:rPr>
        <w:rFonts w:ascii="Noto Sans Symbols" w:cs="Noto Sans Symbols" w:eastAsia="Noto Sans Symbols" w:hAnsi="Noto Sans Symbols"/>
      </w:rPr>
    </w:lvl>
    <w:lvl w:ilvl="6">
      <w:start w:val="1"/>
      <w:numFmt w:val="decimal"/>
      <w:lvlText w:val="%7."/>
      <w:lvlJc w:val="left"/>
      <w:pPr>
        <w:ind w:left="5040" w:hanging="360"/>
      </w:pPr>
      <w:rPr>
        <w:rFonts w:ascii="Noto Sans Symbols" w:cs="Noto Sans Symbols" w:eastAsia="Noto Sans Symbols" w:hAnsi="Noto Sans Symbols"/>
      </w:rPr>
    </w:lvl>
    <w:lvl w:ilvl="7">
      <w:start w:val="1"/>
      <w:numFmt w:val="lowerLetter"/>
      <w:lvlText w:val="%8."/>
      <w:lvlJc w:val="left"/>
      <w:pPr>
        <w:ind w:left="5760" w:hanging="360"/>
      </w:pPr>
      <w:rPr>
        <w:rFonts w:ascii="Courier New" w:cs="Courier New" w:eastAsia="Courier New" w:hAnsi="Courier New"/>
      </w:rPr>
    </w:lvl>
    <w:lvl w:ilvl="8">
      <w:start w:val="1"/>
      <w:numFmt w:val="lowerRoman"/>
      <w:lvlText w:val="%9."/>
      <w:lvlJc w:val="righ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D"/>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A"/>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C"/>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48.png"/><Relationship Id="rId41" Type="http://schemas.openxmlformats.org/officeDocument/2006/relationships/image" Target="media/image46.png"/><Relationship Id="rId44" Type="http://schemas.openxmlformats.org/officeDocument/2006/relationships/image" Target="media/image13.png"/><Relationship Id="rId43" Type="http://schemas.openxmlformats.org/officeDocument/2006/relationships/image" Target="media/image15.png"/><Relationship Id="rId46" Type="http://schemas.openxmlformats.org/officeDocument/2006/relationships/image" Target="media/image20.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44.png"/><Relationship Id="rId47" Type="http://schemas.openxmlformats.org/officeDocument/2006/relationships/image" Target="media/image42.png"/><Relationship Id="rId49" Type="http://schemas.openxmlformats.org/officeDocument/2006/relationships/hyperlink" Target="https://huggingface.co/Helsinki-NLP/opus-mt-es-e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image" Target="media/image25.png"/><Relationship Id="rId31" Type="http://schemas.openxmlformats.org/officeDocument/2006/relationships/image" Target="media/image12.png"/><Relationship Id="rId30" Type="http://schemas.openxmlformats.org/officeDocument/2006/relationships/image" Target="media/image30.jpg"/><Relationship Id="rId33" Type="http://schemas.openxmlformats.org/officeDocument/2006/relationships/image" Target="media/image32.png"/><Relationship Id="rId32" Type="http://schemas.openxmlformats.org/officeDocument/2006/relationships/image" Target="media/image34.jpg"/><Relationship Id="rId35" Type="http://schemas.openxmlformats.org/officeDocument/2006/relationships/image" Target="media/image21.png"/><Relationship Id="rId34" Type="http://schemas.openxmlformats.org/officeDocument/2006/relationships/image" Target="media/image10.png"/><Relationship Id="rId37" Type="http://schemas.openxmlformats.org/officeDocument/2006/relationships/image" Target="media/image9.png"/><Relationship Id="rId36" Type="http://schemas.openxmlformats.org/officeDocument/2006/relationships/image" Target="media/image47.png"/><Relationship Id="rId39" Type="http://schemas.openxmlformats.org/officeDocument/2006/relationships/image" Target="media/image14.png"/><Relationship Id="rId38" Type="http://schemas.openxmlformats.org/officeDocument/2006/relationships/image" Target="media/image33.png"/><Relationship Id="rId62" Type="http://schemas.openxmlformats.org/officeDocument/2006/relationships/hyperlink" Target="https://openai.com/research/whisper" TargetMode="External"/><Relationship Id="rId61" Type="http://schemas.openxmlformats.org/officeDocument/2006/relationships/hyperlink" Target="https://huggingface.co/learn/audio-course/chapter4/fine-tuning" TargetMode="External"/><Relationship Id="rId20" Type="http://schemas.openxmlformats.org/officeDocument/2006/relationships/image" Target="media/image31.png"/><Relationship Id="rId22" Type="http://schemas.openxmlformats.org/officeDocument/2006/relationships/image" Target="media/image7.png"/><Relationship Id="rId21" Type="http://schemas.openxmlformats.org/officeDocument/2006/relationships/image" Target="media/image11.png"/><Relationship Id="rId24" Type="http://schemas.openxmlformats.org/officeDocument/2006/relationships/image" Target="media/image6.jpg"/><Relationship Id="rId23" Type="http://schemas.openxmlformats.org/officeDocument/2006/relationships/image" Target="media/image27.png"/><Relationship Id="rId60" Type="http://schemas.openxmlformats.org/officeDocument/2006/relationships/hyperlink" Target="https://bmcoralhealth.biomedcentral.com/articles/10.1186/s12903-020-01114-6" TargetMode="External"/><Relationship Id="rId26" Type="http://schemas.openxmlformats.org/officeDocument/2006/relationships/image" Target="media/image41.png"/><Relationship Id="rId25" Type="http://schemas.openxmlformats.org/officeDocument/2006/relationships/image" Target="media/image8.png"/><Relationship Id="rId28" Type="http://schemas.openxmlformats.org/officeDocument/2006/relationships/image" Target="media/image4.png"/><Relationship Id="rId27" Type="http://schemas.openxmlformats.org/officeDocument/2006/relationships/image" Target="media/image17.png"/><Relationship Id="rId29" Type="http://schemas.openxmlformats.org/officeDocument/2006/relationships/image" Target="media/image37.png"/><Relationship Id="rId51" Type="http://schemas.openxmlformats.org/officeDocument/2006/relationships/image" Target="media/image24.png"/><Relationship Id="rId50" Type="http://schemas.openxmlformats.org/officeDocument/2006/relationships/image" Target="media/image39.png"/><Relationship Id="rId53" Type="http://schemas.openxmlformats.org/officeDocument/2006/relationships/image" Target="media/image22.png"/><Relationship Id="rId52" Type="http://schemas.openxmlformats.org/officeDocument/2006/relationships/image" Target="media/image29.png"/><Relationship Id="rId11" Type="http://schemas.openxmlformats.org/officeDocument/2006/relationships/image" Target="media/image38.png"/><Relationship Id="rId55" Type="http://schemas.openxmlformats.org/officeDocument/2006/relationships/image" Target="media/image26.png"/><Relationship Id="rId10" Type="http://schemas.openxmlformats.org/officeDocument/2006/relationships/image" Target="media/image5.png"/><Relationship Id="rId54" Type="http://schemas.openxmlformats.org/officeDocument/2006/relationships/image" Target="media/image43.png"/><Relationship Id="rId13" Type="http://schemas.openxmlformats.org/officeDocument/2006/relationships/image" Target="media/image36.png"/><Relationship Id="rId57" Type="http://schemas.openxmlformats.org/officeDocument/2006/relationships/hyperlink" Target="https://www.who.int/es/news/item/18-11-2022-who-highlights-oral-health-neglect-affecting-nearly-half-of-the-world-s-population" TargetMode="External"/><Relationship Id="rId12" Type="http://schemas.openxmlformats.org/officeDocument/2006/relationships/image" Target="media/image35.png"/><Relationship Id="rId56" Type="http://schemas.openxmlformats.org/officeDocument/2006/relationships/image" Target="media/image1.png"/><Relationship Id="rId15" Type="http://schemas.openxmlformats.org/officeDocument/2006/relationships/image" Target="media/image3.png"/><Relationship Id="rId59" Type="http://schemas.openxmlformats.org/officeDocument/2006/relationships/hyperlink" Target="https://co.pinterest.com/pin/55098795436015098/" TargetMode="External"/><Relationship Id="rId14" Type="http://schemas.openxmlformats.org/officeDocument/2006/relationships/image" Target="media/image40.png"/><Relationship Id="rId58" Type="http://schemas.openxmlformats.org/officeDocument/2006/relationships/hyperlink" Target="https://elpais.com/elpais/2020/02/19/buenavida/1582130938_406935.html" TargetMode="External"/><Relationship Id="rId17" Type="http://schemas.openxmlformats.org/officeDocument/2006/relationships/image" Target="media/image45.png"/><Relationship Id="rId16" Type="http://schemas.openxmlformats.org/officeDocument/2006/relationships/image" Target="media/image16.png"/><Relationship Id="rId19" Type="http://schemas.openxmlformats.org/officeDocument/2006/relationships/image" Target="media/image23.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piLdK04Nms5IkoQ5D3NkVj92BQ==">CgMxLjA4AHIhMXZSamVyMjM3YlZ2S0pqS1c2ZThpbkpkd1VRelQ1dnZK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