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OPERACIONES Y SST - EQUIPOS DE CAMPO TERRACAMPO S.A.S.</w:t>
      </w:r>
    </w:p>
    <w:p>
      <w:pPr>
        <w:pStyle w:val="Heading1"/>
      </w:pPr>
      <w:r>
        <w:t>1. Inspección Pre-operacional</w:t>
      </w:r>
    </w:p>
    <w:p>
      <w:r>
        <w:t>Todo líder de campo u operador debe diligenciar la lista de chequeo (check-list) diaria antes de encender cualquier vehículo o maquinaria agrícola.</w:t>
      </w:r>
    </w:p>
    <w:p>
      <w:r>
        <w:t>Debe verificar niveles de aceite, líquido de frenos, estado de llantas u orugas, y funcionamiento de luces.</w:t>
      </w:r>
    </w:p>
    <w:p>
      <w:pPr>
        <w:pStyle w:val="Heading1"/>
      </w:pPr>
      <w:r>
        <w:t>2. Mantenimiento Preventivo</w:t>
      </w:r>
    </w:p>
    <w:p>
      <w:r>
        <w:t>Vehículos de campo (Pick-ups y camionetas): Mantenimiento obligatorio cada 5,000 km o cada 3 meses.</w:t>
      </w:r>
    </w:p>
    <w:p>
      <w:r>
        <w:t>Maquinaria y equipos pesados: Mantenimiento obligatorio cada 100 horas de uso operacional.</w:t>
      </w:r>
    </w:p>
    <w:p>
      <w:pPr>
        <w:pStyle w:val="Heading1"/>
      </w:pPr>
      <w:r>
        <w:t>3. Reporte de Fallas y Emergencias Técnicas</w:t>
      </w:r>
    </w:p>
    <w:p>
      <w:r>
        <w:t>Ante cualquier ruido anómalo, fuga de fluido o falla en tableros, se debe apagar el equipo inmediatamente.</w:t>
      </w:r>
    </w:p>
    <w:p>
      <w:r>
        <w:t>El reporte debe enviarse vía telefónica o por radio al Supervisor de Mantenimiento de la zona en un lapso no mayor a 1 hora tras el incidente.</w:t>
      </w:r>
    </w:p>
    <w:p>
      <w:pPr>
        <w:pStyle w:val="Heading1"/>
      </w:pPr>
      <w:r>
        <w:t>4. Elementos de Protección Personal (EPP)</w:t>
      </w:r>
    </w:p>
    <w:p>
      <w:r>
        <w:t>El uso de casco, botas de puntera de acero y chaleco reflectivo es obligatorio para cualquier maniobra de mantenimiento en zonas remotas.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