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UC22 Ophthalmology Surgeries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UC22 Ophthalmology Surgeries (v7.0)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patient, HCP, or ophthalmologist.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patient selects to view an ophthalmology surgery visit. They see all information the ophthalmologist HCP recorded for the surgery visit. They cannot edit the information.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The ophthalmologist selects to document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patient, HCP, or ophthalmologist.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ophthalmologist selects to document an ophthalmology surgery by recording the patient, the date, and time of the visit.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A single ophthalmologist surgery appointment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patient, HCP, or ophthalmologist.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A single ophthalmologist surgery appointment entry has the following information described in Section 22.6: Date (current date is default) Visual Acuity Results (left and right eye) Sphere (left and right eye) Cylinder (left and right eye) Axis (left and right eye) Surgery Type Notes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The ophthalmologist selects to edit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iTrust2 user has authenticated themselves in iTrust2 (UC2) as a patient, HCP, or ophthalmologist.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System processes request successfully and logs transaction.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patient: The ophthalmologist selects to edit an existing ophthalmology surgery by recording the patient, the date, and time of the visit.</w:t>
            </w:r>
          </w:p>
        </w:tc>
        <w:tc>
          <w:p>
            <w:r>
              <w:rPr>
                <w:sz w:val="18"/>
              </w:rPr>
              <w:t>SYSTEM displays a success message and logs transaction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2026-10-31T04:57:48Z</dcterms:created>
  <dc:creator>Apache POI</dc:creator>
</cp:coreProperties>
</file>