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UC4 Demographics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UC4 Demographics (v8.0)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the iTrust2 Medical Records system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may enter or edit their own demographic information. Details about the data format for demographic information is in Section 4.6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Must enter the mid of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the iTrust2 Medical Records system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HCP must enter the MID of a patient and then enter or edit demographic information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May enter or edit their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the iTrust2 Medical Records system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An HCP may enter or edit their own demographic information according to the data format in Section 4.6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An er may enter 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the iTrust2 Medical Records system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An ER may enter or edit their own demographic information according to the data format in Section 4.6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A lab tech may enter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the iTrust2 Medical Records system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Lab Tech may enter or edit their own demographic information according to the data format in Section 4.6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1: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the iTrust2 Medical Records system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may enter or edit their own demographic information. Details about the data format for demographic information is in Section 4.6 .</w:t>
            </w:r>
          </w:p>
        </w:tc>
        <w:tc>
          <w:p>
            <w:r>
              <w:rPr>
                <w:sz w:val="18"/>
              </w:rPr>
              <w:t>SYSTEM prompts the patient or HCP to correct the format of a required data field because the input of that data field does not match that specified in Section 4.6.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2026-10-31T04:57:49Z</dcterms:created>
  <dc:creator>Apache POI</dc:creator>
</cp:coreProperties>
</file>