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UC002 - Gerenciar Diárias do Beneficiário (Minhas Diárias)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“UC002 - Gerenciar Diárias do Beneficiário (Minhas Diárias)”,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UC002 - Gerenciar Diárias do Beneficiário (Minhas Diárias)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inicial do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Beneficiário Acessa o caso de uso através do menu.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 lista de diárias daquele beneficiário.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Filtrar resultados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Informa os filtros desejados.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diárias conforme os filtros.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detalhar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Prestar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analisar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Analisar Prestação de Contas.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Beneficiário Clica em cancelar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Cancelar Solicitação de Diária.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