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UC004 - Detalhar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“UC004 - Detalhar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UC004 - Detalhar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devidamente autenticado e na tela de listagem de diárias.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Solicita o detalhamento de uma diária.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tela com as informações da diária do servidor (dados gerais da diária, estratificação do cálculo da diária, conta para crédito, período da viagem, histórico de tramitação, detalhamento de empenho e pagamento, prestação de contas e seus detalhes).
					Apresenta o número do empenho e a autorização de pagamento como links.
					Apresenta, no detalhamento das diárias, a justificativa concatenada com o detalhe.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empenho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empenho.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Direciona o usuário para a aba de empenho através da URL.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pagamento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pagamento.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Acessa a URL do pagamento.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