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UC16 Personal Representatives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UC16 Personal Representatives (v6.0)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(UC2). as a patient Another patient is a registered user of the iTrust2 Medical Records system . The patient has authenticated themselves in the iTrust2 Medical Records system (UC1).. An HCP is a registered user of the iTrust2 Medical Records system (UC1). The HCP has authenticated themselves in the iTrust2 Medical Records system (UC2).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Patients have the ability to view the list of people they are a PR for and who they have assigned as a PR . The patient can declare and un-declare other users as personal representatives of themselves , as well as un-declare themselves as a personal representative as someone . HCPs can assign one patient as a PR for another and view their assigned PRs and assignees 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Exception Flow 1: An error message is shown that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(UC2). as a patient Another patient is a registered user of the iTrust2 Medical Records system . The patient has authenticated themselves in the iTrust2 Medical Records system (UC1).. An HCP is a registered user of the iTrust2 Medical Records system (UC1). The HCP has authenticated themselves in the iTrust2 Medical Records system (UC2).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Patients have the ability to view the list of people they are a PR for and who they have assigned as a PR . The patient can declare and un-declare other users as personal representatives of themselves , as well as un-declare themselves as a personal representative as someone . HCPs can assign one patient as a PR for another and view their assigned PRs and assignees .</w:t>
            </w:r>
          </w:p>
        </w:tc>
        <w:tc>
          <w:p>
            <w:r>
              <w:rPr>
                <w:sz w:val="18"/>
              </w:rPr>
              <w:t>SYSTEM prompts that An error message is shown that the user is not found or the action was not completed successfully. User is returned to form to try again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2026-10-31T04:57:16Z</dcterms:created>
  <dc:creator>Apache POI</dc:creator>
</cp:coreProperties>
</file>