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UC21 Ophthalmologist Appointment</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UC21 Ophthalmologist Appointment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submitting an overview of the appointment the ophthalmologist or optometrist HCP will enter the following eye health information : The visual acuity results for both the right (OD) and left (OS) eyes, with integer values between 20 and 200. The sphere for both right (OD) and left (OS) eyes, which can be a floating point number to two digits. and optionally: The cylinder for both right (OD) and left (OS) eyes, which can be a floating point number to two digits. Axis for both right (OD) and left (OS) eyes (although the axis is required if cylinder is entered) between 1 and 180 degrees. General visit notes (up to 500 characters) Diseases from the list: cataracts, age-related macular degeneration, amblyopia’ and glaucoma.</w:t>
            </w:r>
          </w:p>
        </w:tc>
        <w:tc>
          <w:p>
            <w:r>
              <w:rPr>
                <w:sz w:val="18"/>
              </w:rPr>
              <w:t>SYSTEM displays a success message and logs transaction</w:t>
            </w:r>
          </w:p>
        </w:tc>
      </w:tr>
    </w:tbl>
    <w:p>
      <w:r>
        <w:br/>
      </w:r>
    </w:p>
    <w:p>
      <w:pPr>
        <w:spacing w:before="180" w:after="60"/>
      </w:pPr>
      <w:r>
        <w:rPr>
          <w:b w:val="on"/>
          <w:sz w:val="24"/>
          <w:color w:val="2B6CB0"/>
        </w:rPr>
        <w:t>[TC2] Alternative Flow 1: After the appointment, ophthalmologist and</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After the appointment, ophthalmologist and optometrist HCPs are allowed to view or edit the diagnoses of the visit.</w:t>
            </w:r>
          </w:p>
        </w:tc>
        <w:tc>
          <w:p>
            <w:r>
              <w:rPr>
                <w:sz w:val="18"/>
              </w:rPr>
              <w:t>SYSTEM displays a success message and logs transaction</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2026-10-31T04:57:17Z</dcterms:created>
  <dc:creator>Apache POI</dc:creator>
</cp:coreProperties>
</file>