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UC7 Office Visit</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UC7 Office Visit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displays a success message and logs transaction</w:t>
            </w:r>
          </w:p>
        </w:tc>
      </w:tr>
    </w:tbl>
    <w:p>
      <w:r>
        <w:br/>
      </w:r>
    </w:p>
    <w:p>
      <w:pPr>
        <w:spacing w:before="180" w:after="60"/>
      </w:pPr>
      <w:r>
        <w:rPr>
          <w:b w:val="on"/>
          <w:sz w:val="24"/>
          <w:color w:val="2B6CB0"/>
        </w:rPr>
        <w:t>[TC2] Alternative Flow 1: Submit office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to document an office visit by recording if the office visit was prescheduled, any notes about the visit, the patient, appointment type, hospital the patient was seen at, the date, and time of the visit. They fill out a form and press Submit Office Visit .</w:t>
            </w:r>
          </w:p>
        </w:tc>
        <w:tc>
          <w:p>
            <w:r>
              <w:rPr>
                <w:sz w:val="18"/>
              </w:rPr>
              <w:t>SYSTEM displays a success message and logs transaction</w:t>
            </w:r>
          </w:p>
        </w:tc>
      </w:tr>
    </w:tbl>
    <w:p>
      <w:r>
        <w:br/>
      </w:r>
    </w:p>
    <w:p>
      <w:pPr>
        <w:spacing w:before="180" w:after="60"/>
      </w:pPr>
      <w:r>
        <w:rPr>
          <w:b w:val="on"/>
          <w:sz w:val="24"/>
          <w:color w:val="2B6CB0"/>
        </w:rPr>
        <w:t>[TC3] Alternative Flow 2: Provide additional details about the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provides additional details about the office visit as appropriate for the appointment type: General Checkup Basic Health Metrics (uc8) [Ophthalmology Office Visit](uc21) [Ophthalmology Surgeries](uc22)</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prompts the HCP to correct the format of a required data field because the input of that data field does not match that specified in Section 7.7 for the office visit data or for any other collected data .</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2026-10-31T04:57:17Z</dcterms:created>
  <dc:creator>Apache POI</dc:creator>
</cp:coreProperties>
</file>