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12" w:lineRule="auto"/>
        <w:rPr>
          <w:sz w:val="38"/>
          <w:szCs w:val="38"/>
        </w:rPr>
      </w:pPr>
      <w:bookmarkStart w:colFirst="0" w:colLast="0" w:name="_j0lbnt656as3" w:id="0"/>
      <w:bookmarkEnd w:id="0"/>
      <w:r w:rsidDel="00000000" w:rsidR="00000000" w:rsidRPr="00000000">
        <w:rPr>
          <w:color w:val="666666"/>
          <w:sz w:val="44"/>
          <w:szCs w:val="44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49mrw2g085x3" w:id="1"/>
      <w:bookmarkEnd w:id="1"/>
      <w:r w:rsidDel="00000000" w:rsidR="00000000" w:rsidRPr="00000000">
        <w:rPr>
          <w:rFonts w:ascii="Rubik" w:cs="Rubik" w:eastAsia="Rubik" w:hAnsi="Rubik"/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Vamos comprovar através de testes que nosso Flyweight está se comportando da maneira desejada.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yplymqkp0bw6" w:id="2"/>
      <w:bookmarkEnd w:id="2"/>
      <w:r w:rsidDel="00000000" w:rsidR="00000000" w:rsidRPr="00000000">
        <w:rPr>
          <w:rFonts w:ascii="Rubik SemiBold" w:cs="Rubik SemiBold" w:eastAsia="Rubik SemiBold" w:hAnsi="Rubik SemiBold"/>
          <w:b w:val="0"/>
          <w:color w:val="434343"/>
          <w:sz w:val="40"/>
          <w:szCs w:val="40"/>
          <w:rtl w:val="0"/>
        </w:rPr>
        <w:t xml:space="preserve">Desafio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Temos que administrar um criador de figuras Triângulo e um de figuras Quadrado. As figuras Triângulo podemos diferenciar pela cor, enquanto as Quadradas, diferenciamos pelo tamanho.</w:t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Os atributos de ambos são: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20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Cor (String)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20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Tamanho (integer)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Pedimos que usem o padrão Flyweight para criar uma fábrica que gerencie a quantidade de triângulos a serem criados, e uma para gerenciar a quantidade de quadrados criados.</w:t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Os triângulos devem ser diferidos uns dos outros pela cor. Por exemplo: triângulo vermelho de tamanho 2 e triângulo vermelho de tamanho 1 devem armazenar em cache apenas 1 objeto.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  <w:t xml:space="preserve">Os quadrados devem ser diferidos uns dos outros pelo tamanho. Por exemplo: quadrado azul de tamanho 4 e quadrado verde de tamanho 4 devem armazenar em cache apenas 1 objeto.</w:t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  <w:t xml:space="preserve">Após isso, usando o padrão Facade, queremos criar uma fachada que permita simplificar o acesso às fábricas.</w:t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Em seguida, deve-se gerar casos de teste conforme necessário para assegurar a qualidade das fábricas criadas. 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ubik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ubik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ajdhani">
    <w:embedRegular w:fontKey="{00000000-0000-0000-0000-000000000000}" r:id="rId11" w:subsetted="0"/>
    <w:embedBold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ageBreakBefore w:val="0"/>
      <w:rPr/>
    </w:pPr>
    <w:r w:rsidDel="00000000" w:rsidR="00000000" w:rsidRPr="00000000">
      <w:rPr>
        <w:rFonts w:ascii="Rubik" w:cs="Rubik" w:eastAsia="Rubik" w:hAnsi="Rubik"/>
        <w:b w:val="1"/>
        <w:sz w:val="36"/>
        <w:szCs w:val="36"/>
        <w:u w:val="single"/>
      </w:rPr>
      <w:drawing>
        <wp:inline distB="114300" distT="114300" distL="114300" distR="114300">
          <wp:extent cx="3552825" cy="108585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0</wp:posOffset>
          </wp:positionV>
          <wp:extent cx="7553325" cy="1019175"/>
          <wp:effectExtent b="0" l="0" r="0" t="0"/>
          <wp:wrapSquare wrapText="bothSides" distB="0" distT="0" distL="0" distR="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ajdhani-regular.ttf"/><Relationship Id="rId10" Type="http://schemas.openxmlformats.org/officeDocument/2006/relationships/font" Target="fonts/RubikSemiBold-boldItalic.ttf"/><Relationship Id="rId13" Type="http://schemas.openxmlformats.org/officeDocument/2006/relationships/font" Target="fonts/OpenSans-regular.ttf"/><Relationship Id="rId12" Type="http://schemas.openxmlformats.org/officeDocument/2006/relationships/font" Target="fonts/Rajdhani-bold.ttf"/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ubik-regular.ttf"/><Relationship Id="rId4" Type="http://schemas.openxmlformats.org/officeDocument/2006/relationships/font" Target="fonts/Rubik-bold.ttf"/><Relationship Id="rId9" Type="http://schemas.openxmlformats.org/officeDocument/2006/relationships/font" Target="fonts/RubikSemiBold-italic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ubik-italic.ttf"/><Relationship Id="rId6" Type="http://schemas.openxmlformats.org/officeDocument/2006/relationships/font" Target="fonts/Rubik-boldItalic.ttf"/><Relationship Id="rId7" Type="http://schemas.openxmlformats.org/officeDocument/2006/relationships/font" Target="fonts/RubikSemiBold-regular.ttf"/><Relationship Id="rId8" Type="http://schemas.openxmlformats.org/officeDocument/2006/relationships/font" Target="fonts/Rubik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