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15" w:firstLine="0"/>
        <w:rPr>
          <w:rFonts w:ascii="Rajdhani" w:cs="Rajdhani" w:eastAsia="Rajdhani" w:hAnsi="Rajdhani"/>
          <w:b w:val="1"/>
          <w:color w:val="434343"/>
          <w:sz w:val="68"/>
          <w:szCs w:val="68"/>
        </w:rPr>
      </w:pPr>
      <w:r w:rsidDel="00000000" w:rsidR="00000000" w:rsidRPr="00000000">
        <w:rPr>
          <w:rFonts w:ascii="Rajdhani" w:cs="Rajdhani" w:eastAsia="Rajdhani" w:hAnsi="Rajdhani"/>
          <w:b w:val="1"/>
          <w:color w:val="434343"/>
          <w:sz w:val="30"/>
          <w:szCs w:val="30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3338</wp:posOffset>
            </wp:positionH>
            <wp:positionV relativeFrom="page">
              <wp:posOffset>1932</wp:posOffset>
            </wp:positionV>
            <wp:extent cx="7553325" cy="1019175"/>
            <wp:effectExtent b="0" l="0" r="0" t="0"/>
            <wp:wrapSquare wrapText="bothSides" distB="0" distT="0" distL="0" distR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7433" l="0" r="0" t="4259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Rajdhani" w:cs="Rajdhani" w:eastAsia="Rajdhani" w:hAnsi="Rajdhani"/>
          <w:b w:val="1"/>
          <w:color w:val="434343"/>
          <w:sz w:val="30"/>
          <w:szCs w:val="30"/>
        </w:rPr>
        <w:drawing>
          <wp:inline distB="114300" distT="114300" distL="114300" distR="114300">
            <wp:extent cx="3552825" cy="10858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360" w:lineRule="auto"/>
        <w:rPr>
          <w:rFonts w:ascii="Rubik" w:cs="Rubik" w:eastAsia="Rubik" w:hAnsi="Rubik"/>
          <w:b w:val="1"/>
          <w:sz w:val="42"/>
          <w:szCs w:val="42"/>
        </w:rPr>
      </w:pPr>
      <w:r w:rsidDel="00000000" w:rsidR="00000000" w:rsidRPr="00000000">
        <w:rPr>
          <w:rFonts w:ascii="Rubik" w:cs="Rubik" w:eastAsia="Rubik" w:hAnsi="Rubik"/>
          <w:b w:val="1"/>
          <w:sz w:val="42"/>
          <w:szCs w:val="42"/>
          <w:rtl w:val="0"/>
        </w:rPr>
        <w:t xml:space="preserve">O que é TDD?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360" w:lineRule="auto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Por fim, veremos de uma forma muito geral o que é TDD (Test Driven Development). Deve-se esclarecer que isso será visto em profundidade em Teste.</w:t>
      </w:r>
    </w:p>
    <w:p w:rsidR="00000000" w:rsidDel="00000000" w:rsidP="00000000" w:rsidRDefault="00000000" w:rsidRPr="00000000" w14:paraId="00000004">
      <w:pPr>
        <w:spacing w:after="240" w:before="240" w:line="360" w:lineRule="auto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TDD significa que usamos testes para orientar ou direcionar a maneira como escrevemos nosso código. Normalmente, o fluxo de trabalho é descrito como Vermelho, Verde, Refatorar.</w:t>
      </w:r>
    </w:p>
    <w:p w:rsidR="00000000" w:rsidDel="00000000" w:rsidP="00000000" w:rsidRDefault="00000000" w:rsidRPr="00000000" w14:paraId="00000005">
      <w:pPr>
        <w:widowControl w:val="0"/>
        <w:spacing w:before="120" w:line="240" w:lineRule="auto"/>
        <w:jc w:val="center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f3f3f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4752975" cy="5905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17775" y="749450"/>
                          <a:ext cx="4752975" cy="590550"/>
                          <a:chOff x="817775" y="749450"/>
                          <a:chExt cx="4737675" cy="5727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817775" y="749450"/>
                            <a:ext cx="1172400" cy="572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Vermelho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626050" y="749450"/>
                            <a:ext cx="1172400" cy="572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Verde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383050" y="749450"/>
                            <a:ext cx="1172400" cy="572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9FC5E8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Refatorar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90175" y="1035800"/>
                            <a:ext cx="636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98450" y="1035800"/>
                            <a:ext cx="584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752975" cy="590550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2975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360" w:lineRule="auto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br w:type="textWrapping"/>
        <w:t xml:space="preserve">Veremos com mais detalhes a seguir.</w:t>
      </w:r>
    </w:p>
    <w:p w:rsidR="00000000" w:rsidDel="00000000" w:rsidP="00000000" w:rsidRDefault="00000000" w:rsidRPr="00000000" w14:paraId="00000007">
      <w:pPr>
        <w:spacing w:after="240" w:before="240" w:line="360" w:lineRule="auto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360" w:lineRule="auto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ubik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ajdhani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10" Type="http://schemas.openxmlformats.org/officeDocument/2006/relationships/font" Target="fonts/Rajdhani-bold.ttf"/><Relationship Id="rId9" Type="http://schemas.openxmlformats.org/officeDocument/2006/relationships/font" Target="fonts/Rajdhani-regular.ttf"/><Relationship Id="rId5" Type="http://schemas.openxmlformats.org/officeDocument/2006/relationships/font" Target="fonts/Rubik-regular.ttf"/><Relationship Id="rId6" Type="http://schemas.openxmlformats.org/officeDocument/2006/relationships/font" Target="fonts/Rubik-bold.ttf"/><Relationship Id="rId7" Type="http://schemas.openxmlformats.org/officeDocument/2006/relationships/font" Target="fonts/Rubik-italic.ttf"/><Relationship Id="rId8" Type="http://schemas.openxmlformats.org/officeDocument/2006/relationships/font" Target="fonts/Rubi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