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DISCIPLINA: HUMAN-COMPUTER AI INTERACTION (HCAI)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2d2d2d"/>
          <w:sz w:val="22"/>
          <w:szCs w:val="22"/>
          <w:rtl w:val="0"/>
        </w:rPr>
        <w:t xml:space="preserve">Projeto OrientAI — Plataforma LLM para Pós-Graduação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Calibri" w:cs="Calibri" w:eastAsia="Calibri" w:hAnsi="Calibri"/>
          <w:b w:val="1"/>
          <w:bCs w:val="1"/>
          <w:color w:val="1a3a5c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rFonts w:ascii="Calibri" w:cs="Calibri" w:eastAsia="Calibri" w:hAnsi="Calibri"/>
          <w:b w:val="1"/>
          <w:bCs w:val="1"/>
          <w:color w:val="1a3a5c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>
          <w:rFonts w:ascii="Calibri" w:cs="Calibri" w:eastAsia="Calibri" w:hAnsi="Calibri"/>
          <w:b w:val="1"/>
          <w:bCs w:val="1"/>
          <w:color w:val="1a3a5c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jc w:val="center"/>
        <w:rPr>
          <w:rFonts w:ascii="Calibri" w:cs="Calibri" w:eastAsia="Calibri" w:hAnsi="Calibri"/>
          <w:b w:val="1"/>
          <w:bCs w:val="1"/>
          <w:color w:val="1a3a5c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Rule="auto"/>
        <w:jc w:val="left"/>
        <w:rPr>
          <w:rFonts w:ascii="Calibri" w:cs="Calibri" w:eastAsia="Calibri" w:hAnsi="Calibri"/>
          <w:b w:val="1"/>
          <w:bCs w:val="1"/>
          <w:color w:val="1a3a5c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3a5c"/>
          <w:sz w:val="56"/>
          <w:szCs w:val="56"/>
          <w:rtl w:val="0"/>
        </w:rPr>
        <w:t xml:space="preserve">Checklist Transversal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d4611a" w:space="0" w:sz="12" w:val="single"/>
        </w:pBd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>
          <w:rFonts w:ascii="Calibri" w:cs="Calibri" w:eastAsia="Calibri" w:hAnsi="Calibri"/>
          <w:i w:val="1"/>
          <w:iCs w:val="1"/>
          <w:color w:val="2e6da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6da4"/>
          <w:sz w:val="24"/>
          <w:szCs w:val="24"/>
          <w:rtl w:val="0"/>
        </w:rPr>
        <w:t xml:space="preserve">Educação 02 (Equipe 5): Cynara Carvalho, Vitor Hugo, Reno Alencar, Talita Moraes </w:t>
      </w:r>
    </w:p>
    <w:p w:rsidR="00000000" w:rsidDel="00000000" w:rsidP="00000000" w:rsidRDefault="00000000" w:rsidRPr="00000000" w14:paraId="0000000B">
      <w:pPr>
        <w:spacing w:after="60" w:before="60" w:lineRule="auto"/>
        <w:jc w:val="center"/>
        <w:rPr>
          <w:rFonts w:ascii="Calibri" w:cs="Calibri" w:eastAsia="Calibri" w:hAnsi="Calibri"/>
          <w:i w:val="1"/>
          <w:iCs w:val="1"/>
          <w:color w:val="2e6da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e6da4"/>
          <w:sz w:val="24"/>
          <w:szCs w:val="24"/>
          <w:rtl w:val="0"/>
        </w:rPr>
        <w:t xml:space="preserve">e Diego Reynaux</w:t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jc w:val="center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Versão 3.0  |  Setembro de 2026</w:t>
      </w:r>
    </w:p>
    <w:p w:rsidR="00000000" w:rsidDel="00000000" w:rsidP="00000000" w:rsidRDefault="00000000" w:rsidRPr="00000000" w14:paraId="00000021">
      <w:pPr>
        <w:spacing w:after="40" w:lineRule="auto"/>
        <w:jc w:val="center"/>
        <w:rPr>
          <w:rFonts w:ascii="Calibri" w:cs="Calibri" w:eastAsia="Calibri" w:hAnsi="Calibri"/>
          <w:i w:val="1"/>
          <w:iCs w:val="1"/>
          <w:color w:val="2d2d2d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d2d2d"/>
          <w:rtl w:val="0"/>
        </w:rPr>
        <w:t xml:space="preserve">Referência: NIST AI RMF 1.0 (NIST AI 100-1) · LGPD · MEC/SEEB (2024) · UNESCO (2021, 2023)</w:t>
      </w:r>
    </w:p>
    <w:p w:rsidR="00000000" w:rsidDel="00000000" w:rsidP="00000000" w:rsidRDefault="00000000" w:rsidRPr="00000000" w14:paraId="00000022">
      <w:pPr>
        <w:spacing w:after="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1a3a5c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Histórico de Versões</w:t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1.541896815137"/>
        <w:gridCol w:w="1197.4145022916914"/>
        <w:gridCol w:w="6226.5554119167955"/>
        <w:tblGridChange w:id="0">
          <w:tblGrid>
            <w:gridCol w:w="1601.541896815137"/>
            <w:gridCol w:w="1197.4145022916914"/>
            <w:gridCol w:w="6226.55541191679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1a3a5c" w:space="0" w:sz="7" w:val="single"/>
              <w:left w:color="1a3a5c" w:space="0" w:sz="7" w:val="single"/>
              <w:bottom w:color="1a3a5c" w:space="0" w:sz="7" w:val="single"/>
              <w:right w:color="1a3a5c" w:space="0" w:sz="7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1a3a5c" w:space="0" w:sz="7" w:val="single"/>
              <w:left w:color="000000" w:space="0" w:sz="0" w:val="nil"/>
              <w:bottom w:color="1a3a5c" w:space="0" w:sz="7" w:val="single"/>
              <w:right w:color="1a3a5c" w:space="0" w:sz="7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1a3a5c" w:space="0" w:sz="7" w:val="single"/>
              <w:left w:color="000000" w:space="0" w:sz="0" w:val="nil"/>
              <w:bottom w:color="1a3a5c" w:space="0" w:sz="7" w:val="single"/>
              <w:right w:color="1a3a5c" w:space="0" w:sz="7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0bec5" w:space="0" w:sz="7" w:val="single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14/Set/2026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Elaboração inicial do Documento de Visão, com análise de riscos segundo o NIST AI RMF 1.0 e conformidade regulatória.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b0bec5" w:space="0" w:sz="7" w:val="single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26/Set/2026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Revisão das justificativas e dos riscos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0bec5" w:space="0" w:sz="7" w:val="single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02/Out/2026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bec5" w:space="0" w:sz="7" w:val="single"/>
              <w:right w:color="b0bec5" w:space="0" w:sz="7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Calibri" w:cs="Calibri" w:eastAsia="Calibri" w:hAnsi="Calibri"/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Inclusão dos dados referente ao Documento de Visão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6da4" w:space="0" w:sz="8" w:val="single"/>
        </w:pBdr>
        <w:spacing w:after="160" w:before="480" w:lineRule="auto"/>
        <w:rPr>
          <w:rFonts w:ascii="Calibri" w:cs="Calibri" w:eastAsia="Calibri" w:hAnsi="Calibri"/>
          <w:b w:val="1"/>
          <w:bCs w:val="1"/>
          <w:color w:val="1a3a5c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Este documento apresenta a visão do produto OrientAI — uma plataforma baseada em Modelos de Linguagem de Grande Escala (LLMs) projetada para apoiar professores orientadores e alunos de pós-graduação (mestrado e doutorado) em suas atividades acadêmicas. O documento descreve o problema que o sistema endereça, os stakeholders envolvidos, os perfis de usuário, os módulos funcionais previstos, os requisitos de alto nível e a análise de riscos estruturada segundo o NIST AI Risk Management Framework (AI RMF 1.0).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documento segue os princípios de Human-Centered AI (HCAI) estabelecidos por Shneiderman (2020) e Garibay et al. (2023), posicionando o sistema como um copiloto acadêmico — um instrumento que amplifica a capacidade intelectual de professores e alunos sem substituir o julgamento, a autoria e a autonomia cognitiva de nenhum dos dois.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denominação provisória OrientAI reflete as duas funções centrais do sistema: apoio à orientação acadêmica (orientador/orientando) e integração de inteligência artificial como ferramenta de suporte — não de substituição — ao trabalho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OrientAI tem como objetivo central desenvolver uma plataforma integrada, baseada em LLM, capaz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Apoiar professores e alunos de mestrado e doutorado em atividades de pesquisa, orientação, produção científica, gestão acadêmica e acompanhamento de projetos;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Manter rastreabilidade das fontes, dos documentos e das interações com a IA, preservando a integridade acadêmica como valor inegociável do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Respeitar as regras institucionais, o marco legal brasileiro (LGPD, ECA, Marco Civil da Internet) e as diretrizes do MEC/SEEB para uso responsável de IA na educação;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Oferecer um ambiente de colaboração estruturada entre orientador e orientando, com fluxos de validação humana explícitos em todas as saídas da IA que tenham impacto acadêmico relevante;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Reduzir a fragmentação de ferramentas no ambiente de pós-graduação, concentrando em uma plataforma coesa as funcionalidades de comunicação, gestão de projetos, suporte à escrita e pesquisa bibliográfica.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3. Posicionamento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3.1 Declaração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-120.0" w:type="dxa"/>
        <w:tblLayout w:type="fixed"/>
        <w:tblLook w:val="00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 pós-graduação brasileira enfrenta dois desafios simultâneos: (1) a fragmentação de ferramentas digitais utilizadas para gestão acadêmica, comunicação, pesquisa e escrita, gerando perda de contexto e dificuldade de acompanhamento longitudinal; e (2) a emergência de LLMs de uso geral sem governança institucional, criando riscos de comprometimento da integridade acadêmica — desde a geração de conteúdo não autoral até a fabricação de referências inexistentes.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Pessoas atingidas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Professores orientadores, alunos de mestrado e doutorado, coordenações de programas de pós-graduação e instituições de ensino superior.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Cujo impacto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Dificuldade de acompanhamento sistemático da evolução dos orientandos; risco de plágio e fraude acadêmica por uso não rastreado de LLMs; ausência de registro estruturado de reuniões de orientação; retrabalho por uso de múltiplas ferramentas desconectadas.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Uma solução bem-sucedida seria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Uma plataforma que integre gestão de orientações, comunicação estruturada, suporte à escrita acadêmica, pesquisa bibliográfica assistida e acompanhamento de projetos — com o LLM como copiloto, não como autor; com validação humana do orientador; e com rastreabilidade completa das interações com a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3.2 Declaração da Posição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-120.0" w:type="dxa"/>
        <w:tblLayout w:type="fixed"/>
        <w:tblLook w:val="0000"/>
      </w:tblPr>
      <w:tblGrid>
        <w:gridCol w:w="1815"/>
        <w:gridCol w:w="7215"/>
        <w:tblGridChange w:id="0">
          <w:tblGrid>
            <w:gridCol w:w="1815"/>
            <w:gridCol w:w="7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Professores orientadores e alunos de mestrado e doutorado de programas de pós-graduação brasileiros.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Enfrentam fragmentação de ferramentas, ausência de governança sobre o uso de LLMs e dificuldade de manter integridade acadêmica e rastreabilidade no processo de pesquisa.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 OrientAI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Uma plataforma web integrada baseada em 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Centraliza a gestão de orientações, a comunicação entre orientador e orientando, o suporte (não substituição) à escrita acadêmica e à pesquisa bibliográfica, com validação humana explícita e rastreabilidade de todas as interações com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Diferente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Ferramentas isoladas como Google Workspace, Notion, Zotero, ChatGPT, Trello e Google Meet — utilizadas separadamente sem integração ou governança acadêmica.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Nosso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Integra todas essas funções com um modelo de governança explícito: o LLM nunca escreve pelo usuário; o orientador valida todos os registros de impacto coletivo; e a rastreabilidade de fontes e interações é preservada por design.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4. Stakeholders 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4.1 Resumo dos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Ind w:w="-120.0" w:type="dxa"/>
        <w:tblLayout w:type="fixed"/>
        <w:tblLook w:val="0000"/>
      </w:tblPr>
      <w:tblGrid>
        <w:gridCol w:w="2500"/>
        <w:gridCol w:w="4525"/>
        <w:gridCol w:w="2001"/>
        <w:tblGridChange w:id="0">
          <w:tblGrid>
            <w:gridCol w:w="2500"/>
            <w:gridCol w:w="4525"/>
            <w:gridCol w:w="20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 e 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Relação com 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Professor Especialista em Educação (Stakeholder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Especialista da área de educação que atua como parceiro no desenvolvimento e validação do artefato. Fornece contexto pedagógico, valida requisitos e avalia a adequação das funcionalidades ao contexto real de pós-graduação.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Informante primário de requisitos; avaliador de adequação pedagógica.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Professor Orientador (Usuário Primário)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Docente de programa de pós-graduação responsável pela orientação de dissertações e teses. Gestão de orientandos, registro de reuniões, criação de tarefas e acompanhamento de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Usuário com perfil de gestão e validação. Responsável pela aprovação de registros de impacto coletivo.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Aluno Orientando (Usuário Primário)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Mestrando ou doutorando vinculado a um orientador. Utiliza o sistema para gestão do projeto de pesquisa, apoio à escrita, pesquisa bibliográfica e comunicação com o orientador.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Usuário com perfil de execução e consulta. Não acessa registros não validados pelo orientador.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Coordenação de Programa de Pós-Graduação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Instância institucional responsável pela gestão do programa. Potencial beneficiária de relatórios agregados de progresso.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Stakeholder secundário; usuário potencial de relatórios gerenciais em versões futuras.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Instituição de Ensino Superior (IES)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Organização responsável pelas políticas de integridade acadêmica, proteção de dados e conformidade regulatória.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Stakeholder regulatório; define as políticas que o sistema deve respeitar.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Fornecedores de LLM (terceiros)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Provedores de APIs de LLMs (OpenAI, Anthropic, Google, Groq, Nvidia, OpenRouter) ou de modelos locais (Ollama).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Fornecedores de infraestrutura de IA; sujeitos às políticas de terceiros do NIST AI RMF (GOVERN 6.1/6.2).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4.2 Perfis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Perfil 1 — Professor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left"/>
        <w:tblInd w:w="-120.0" w:type="dxa"/>
        <w:tblLayout w:type="fixed"/>
        <w:tblLook w:val="0000"/>
      </w:tblPr>
      <w:tblGrid>
        <w:gridCol w:w="2199"/>
        <w:gridCol w:w="6826"/>
        <w:tblGridChange w:id="0">
          <w:tblGrid>
            <w:gridCol w:w="2199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Docente de programa stricto sensu (mestrado/doutorado).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Profissional com formação de doutorado, responsável pela orientação de um ou mais alunos de pós-graduação. Possui agenda densa, múltiplas frentes de trabalho (docência, pesquisa, extensão, gestão) e necessidade de acompanhamento sistemático do progresso de cada orientando.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Orientar dissertações e teses; registrar e validar reuniões; definir tarefas; avaliar documentos; monitorar progresso; produzir documentação acadêmica.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Critérios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Redução do tempo gasto com tarefas administrativas de orientação; visibilidade clara do progresso de todos os orientandos; registro confiável e auditável das reuniões e decisões de orientação.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Letramento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Variável; o sistema deve ser operável por docentes com letramento digital intermediário, sem exigir conhecimento técnico sobre LLMs.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Autoridade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Valida registros de impacto coletivo (prontuários, feedbacks); aprova ou rejeita saídas da IA antes de sua publicação para o orientando.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Perfil 2 — Aluno Orientando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0" w:type="dxa"/>
        <w:jc w:val="left"/>
        <w:tblInd w:w="-120.0" w:type="dxa"/>
        <w:tblLayout w:type="fixed"/>
        <w:tblLook w:val="0000"/>
      </w:tblPr>
      <w:tblGrid>
        <w:gridCol w:w="2199"/>
        <w:gridCol w:w="6826"/>
        <w:tblGridChange w:id="0">
          <w:tblGrid>
            <w:gridCol w:w="2199"/>
            <w:gridCol w:w="6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Mestrando ou doutorando vinculado a um orientador cadastrado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Pesquisador em formação com dedicação (parcial ou integral) à dissertação/tese. Enfrenta desafios de organização do projeto, gestão do tempo, revisão de literatura, estruturação da escrita e comunicação com o orientador.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Desenvolver o projeto de pesquisa; cumprir tarefas definidas pelo orientador; interagir com o LLM para suporte à pesquisa e à escrita; enviar documentos para avaliação; registrar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Critérios de 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Clareza sobre o estado atual do projeto e os próximos passos; suporte qualificado à escrita acadêmica sem comprometimento da autoria; acesso ágil a feedback do orientador.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Letramento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Médio a alto; familiaridade esperada com ferramentas digitais de pesquisa e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Autoridade no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Visualiza registros validados pelo orientador; interage com o LLM dentro dos módulos autorizados; não tem acesso às visões agregadas do orientador sobre outros alunos.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4.3 Ambiente dos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sistema operará em contexto de pós-graduação stricto sensu de Instituições de Ensino Superior brasileiras. Características do ambiente: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Usuários geograficamente distribuídos (orientações podem ser remotas ou híbridas);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Reuniões de orientação com frequência variável, tipicamente quinzenal ou mensal;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Ciclos de projeto longos: 24 a 48 meses para dissertações; 48 a 60 meses para teses;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Produção de documentos em formatos acadêmicos estruturados (ABNT, LaTeX, Markdown);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Necessidade de rastreabilidade de versões de documentos e decisões de orientação;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Contexto institucional com políticas de integridade acadêmica e proteção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4.4 Necessidades dos Stakeholders 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left"/>
        <w:tblInd w:w="-120.0" w:type="dxa"/>
        <w:tblLayout w:type="fixed"/>
        <w:tblLook w:val="0000"/>
      </w:tblPr>
      <w:tblGrid>
        <w:gridCol w:w="2500"/>
        <w:gridCol w:w="799"/>
        <w:gridCol w:w="2626"/>
        <w:gridCol w:w="3100"/>
        <w:tblGridChange w:id="0">
          <w:tblGrid>
            <w:gridCol w:w="2500"/>
            <w:gridCol w:w="799"/>
            <w:gridCol w:w="2626"/>
            <w:gridCol w:w="3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Solução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Registro estruturado e auditável das reuniões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Reuniões sem registro formal; decisões perdidas ou mal lembradas.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de Reunião com transcrição automática, prontuário e validação pelo orientador.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Suporte à escrita sem comprometimento da autoria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Uso não rastreado de LLMs gerais; risco de plágio e perda de autoria.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 com LLM como revisor, não autor; rastreabilidade de sugestões.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Acompanhamento sistemático do progresso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Ausência de visão integrada do estado de cada orientação.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de Acompanhamento com dashboard e indicadores por orientando.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Gestão de tarefas e cronogramas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Tarefas definidas verbalmente ou por e-mail, sem rastreamento.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Kanban com tarefas, prazos e responsáveis vinculados.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Pesquisa bibliográfica com 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LLMs que fabricam referências; falta de vínculo entre resposta e fonte.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LLM com RAG sobre documentos reais carregados pelo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Governança sobre uso de LLMs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Ausência de políticas e rastreabilidade do uso de IA por alunos.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Registro de todas as interações com a IA; distinção entre produção autoral e saída da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Conformidade com LGPD e 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Dados acadêmicos sensíveis em ferramentas sem conformidade regulatória.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Consentimento explícito; política de privacidade acessível; opção de LLM local (Ollama).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5. Visão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5.1 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OrientAI é uma plataforma web com arquitetura modular, projetada para operar como sistema integrado de apoio à pós-graduação. Seu diferencial é a integração entre os módulos de gestão acadêmica, comunicação e suporte por IA dentro de um modelo de governança explícito: toda saída da IA com impacto acadêmico coletivo passa por validação humana do orientador antes de ser visível ao orientando. O sistema não é um assistente de IA genérico adaptado à academia — é uma plataforma desenhada para o contexto específico da orientação em pós-graduação, com o LLM como componente de suporte, não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5.2 Suposições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2"/>
          <w:szCs w:val="22"/>
          <w:rtl w:val="0"/>
        </w:rPr>
        <w:t xml:space="preserve">Suposições: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Os usuários possuem acesso a dispositivos com navegador web moderno e conexão à internet;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instituição parceira possui política de integridade acadêmica formalizada que o sistema deve operacionalizar;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professor orientador é o responsável institucional pelo conteúdo acadêmico produzido no contexto de suas orientações;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Os alunos de pós-graduação são adultos, sujeitos à LGPD sem as disposições especiais do ECA para menores de 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2"/>
          <w:szCs w:val="22"/>
          <w:rtl w:val="0"/>
        </w:rPr>
        <w:t xml:space="preserve">Dependências: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Ind w:w="-120.0" w:type="dxa"/>
        <w:tblLayout w:type="fixed"/>
        <w:tblLook w:val="0000"/>
      </w:tblPr>
      <w:tblGrid>
        <w:gridCol w:w="2500"/>
        <w:gridCol w:w="1826"/>
        <w:gridCol w:w="4700"/>
        <w:tblGridChange w:id="0">
          <w:tblGrid>
            <w:gridCol w:w="2500"/>
            <w:gridCol w:w="1826"/>
            <w:gridCol w:w="4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Impacto em caso de indisponibilidade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API de LLM externo (OpenAI, Anthropic,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Técnica /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Módulos LLM, Co-Revisão e Snapshot ficam indisponíveis; demais módulos permanecem operacionais.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Ollama (LLM 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Técnica / Infraestrutura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Alternativa para operação offline ou privacy-first; requer servidor local configurado pela 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Serviço de transcrição de áudio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de Reunião (Snapshot) fica sem transcrição automática; transcrição manual torna-se necessária.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Base de artigos (Semantic Scholar, CrossRef)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Técnica / Serviço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Módulo de pesquisa bibliográfica com metadados reduzido; usuário precisa carregar artigos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5.3 Módulos e 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1 — Gestão de Perfis e Orientações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Cadastro e gerenciamento de perfis acadêmicos de professores e alunos, com vinculação de orientadores a orientandos e registro das informações do projeto de pesquisa (problema, objetivos, metodologia, cronograma). Painel de visão geral das orientações ativas para 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2 — Reunião e Snapshot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Infraestrutura para reuniões de orientação com transcrição automática, geração de prontuário assistida por LLM e fluxo de validação pelo orientador antes da publicação ao orientando. Módulo de videochamada integrado ou integração com plataformas externas. Tarefas identificadas no prontuário são criadas automaticamente no Kanban, sujeitas à confirmação do orientador.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2"/>
          <w:szCs w:val="22"/>
          <w:rtl w:val="0"/>
        </w:rPr>
        <w:t xml:space="preserve">Fluxo de operação do Snapshot: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Reunião realizada (módulo interno ou externo)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before="20" w:lineRule="auto"/>
        <w:ind w:left="720" w:firstLine="0"/>
        <w:rPr/>
      </w:pPr>
      <w:sdt>
        <w:sdtPr>
          <w:id w:val="-404310111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d2d2d"/>
              <w:sz w:val="18"/>
              <w:szCs w:val="18"/>
              <w:rtl w:val="0"/>
            </w:rPr>
            <w:t xml:space="preserve">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Transcrição automática do áudio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before="20" w:lineRule="auto"/>
        <w:ind w:left="720" w:firstLine="0"/>
        <w:rPr/>
      </w:pPr>
      <w:sdt>
        <w:sdtPr>
          <w:id w:val="1657883228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d2d2d"/>
              <w:sz w:val="18"/>
              <w:szCs w:val="18"/>
              <w:rtl w:val="0"/>
            </w:rPr>
            <w:t xml:space="preserve">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LLM gera rascunho do Prontuário (síntese, decisões, tarefas identificadas)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before="20" w:lineRule="auto"/>
        <w:ind w:left="720" w:firstLine="0"/>
        <w:rPr/>
      </w:pPr>
      <w:sdt>
        <w:sdtPr>
          <w:id w:val="279343515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d2d2d"/>
              <w:sz w:val="18"/>
              <w:szCs w:val="18"/>
              <w:rtl w:val="0"/>
            </w:rPr>
            <w:t xml:space="preserve">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Orientador recebe notificação para revisão 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before="20" w:lineRule="auto"/>
        <w:ind w:left="720" w:firstLine="0"/>
        <w:rPr/>
      </w:pPr>
      <w:sdt>
        <w:sdtPr>
          <w:id w:val="2100546314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d2d2d"/>
              <w:sz w:val="18"/>
              <w:szCs w:val="18"/>
              <w:rtl w:val="0"/>
            </w:rPr>
            <w:t xml:space="preserve">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Orientador valida ou edita e valida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before="20" w:lineRule="auto"/>
        <w:ind w:left="720" w:firstLine="0"/>
        <w:rPr/>
      </w:pPr>
      <w:sdt>
        <w:sdtPr>
          <w:id w:val="-330979493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2d2d2d"/>
              <w:sz w:val="18"/>
              <w:szCs w:val="18"/>
              <w:rtl w:val="0"/>
            </w:rPr>
            <w:t xml:space="preserve">  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Prontuário publicado para orientador e orientando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before="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Antes da validação: orientando visualiza 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before="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2d2d"/>
          <w:sz w:val="18"/>
          <w:szCs w:val="18"/>
          <w:rtl w:val="0"/>
        </w:rPr>
        <w:t xml:space="preserve">com marca d'água "Aguardando validação do orientador"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3 — Kanban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Gerenciamento visual de tarefas e progresso do projeto de pesquisa, com visibilidade compartilhada entre orientador e orientando. Fluxo: Backlog → Em andamento → Em revisão → Concluído. Alertas de tarefas atrasadas, histórico de alterações e cronograma geral da dissertação/tese.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4 — Co-Revisão Acadêmica (LLM como Copiloto)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2"/>
          <w:szCs w:val="22"/>
          <w:rtl w:val="0"/>
        </w:rPr>
        <w:t xml:space="preserve">Princípio de design inegociável: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LLM não gera conteúdo acadêmico autoral. Ele analisa, sugere, questiona e aponta — mas a escrita permanece integralmente do aluno ou do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Sub-módulo de Suporte à Escrita: análise de coerência estrutural (problema ↔ objetivos ↔ metodologia ↔ resultados), revisão de clareza e precisão terminológica, verificação de conformidade ABNT, identificação de lacunas argumentativas e comparação estrutural entre versões de um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Sub-módulo de Triagem Bibliográfica: a partir de critérios definidos pelo usuário, o LLM avalia títulos e resumos de artigos e indica o aparente grau de relevância com justificativa explícita. O LLM não lê o artigo completo pelo usuário. Não há geração de resumos substitutivos ao artigo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5 — Editor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Editor de documentos integrado para produção em Markdown ou LaTeX, com suporte da camada de Co-Revisão. Versionamento com histórico de alterações, exportação (PDF, .tex, .md), compartilhamento com controle de visibilidade e marcação explícita de trechos revisados com auxílio da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1"/>
        <w:spacing w:after="8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rtl w:val="0"/>
        </w:rPr>
        <w:t xml:space="preserve">Módulo 6 — LLM (Integração e Governança)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Camada de integração com provedores de LLM externos ou locais, com mecanismos de governança sobre as interações: registro de todas as interações por usuário, módulo, modelo, data e hora; exibição do provedor/modelo em cada resposta; nenhuma resposta publicada para terceiros sem revisão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Ind w:w="-120.0" w:type="dxa"/>
        <w:tblLayout w:type="fixed"/>
        <w:tblLook w:val="0000"/>
      </w:tblPr>
      <w:tblGrid>
        <w:gridCol w:w="2199"/>
        <w:gridCol w:w="2227"/>
        <w:gridCol w:w="4600"/>
        <w:tblGridChange w:id="0">
          <w:tblGrid>
            <w:gridCol w:w="2199"/>
            <w:gridCol w:w="2227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Provedor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Consideração de Privacidade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OpenAI (GPT-4o,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Dados enviados a servidor externo; sujeito à política de privacidade da OpenAI.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Anthropic (Claude)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Dados enviados a servidor externo; sujeito à política de privacidade da Anthropic.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Google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Dados enviados a servidor externo; sujeito à política de privacidade do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Inferência de alta velocidade; sujeito à política da Groq.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Nvidia 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Sujeito à política da Nvidia.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API externa (roteador)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Intermediário; verificar política de cada modelo roteado individualmente.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Ollama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Local — privacy-first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Opção recomendada para dados sensíveis: </w:t>
            </w: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nenhum dado sai da infraestrutura do usuário ou da instituição.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1"/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5.4 Limites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OrientAI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2d2d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 é 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d2d2d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é um ghostwriter acadêmico: o sistema não gera textos acadêmicos autorais por solicitação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substitui a avaliação do orientador: a aprovação de documentos e o feedback de mérito acadêmico são sempre de responsabilidade do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lê artigos científicos completos pelo usuário: o sub-módulo de triagem analisa apenas títulos e resumos fornecidos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garante a veracidade das informações fornecidas pelo LLM: toda resposta é apresentada com aviso explícito sobre possibilidade de imprecisões.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armazena gravações de reuniões permanentemente: gravações são descartadas após transcrição, salvo consentimento explícito de todos 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Não gerencia matrículas, notas ou sistemas acadêmicos institucionais (SIE, SIGAA, etc.) nesta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1"/>
        <w:pBdr>
          <w:bottom w:color="2e6da4" w:space="0" w:sz="8" w:val="single"/>
        </w:pBd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6. Backlog Inicial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Convenção de Prioridade</w:t>
      </w:r>
      <w:r w:rsidDel="00000000" w:rsidR="00000000" w:rsidRPr="00000000">
        <w:rPr>
          <w:rtl w:val="0"/>
        </w:rPr>
      </w:r>
    </w:p>
    <w:tbl>
      <w:tblPr>
        <w:tblStyle w:val="Table10"/>
        <w:tblW w:w="9025.0" w:type="dxa"/>
        <w:jc w:val="left"/>
        <w:tblInd w:w="-120.0" w:type="dxa"/>
        <w:tblLayout w:type="fixed"/>
        <w:tblLook w:val="0000"/>
      </w:tblPr>
      <w:tblGrid>
        <w:gridCol w:w="1500"/>
        <w:gridCol w:w="7525"/>
        <w:tblGridChange w:id="0">
          <w:tblGrid>
            <w:gridCol w:w="1500"/>
            <w:gridCol w:w="7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Funcionalidade essencial para o sistema entrar em operação básica. Deve estar presente no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Funcionalidade importante que agrega valor significativo, mas o sistema pode operar sem ela de forma limitada. Planejada para versões pós-MVP.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Funcionalidade desejável para versões futuras. Não impede o uso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6.1 Backlog do Professor</w:t>
      </w:r>
      <w:r w:rsidDel="00000000" w:rsidR="00000000" w:rsidRPr="00000000">
        <w:rPr>
          <w:rtl w:val="0"/>
        </w:rPr>
      </w:r>
    </w:p>
    <w:tbl>
      <w:tblPr>
        <w:tblStyle w:val="Table11"/>
        <w:tblW w:w="9025.0" w:type="dxa"/>
        <w:jc w:val="left"/>
        <w:tblInd w:w="-120.0" w:type="dxa"/>
        <w:tblLayout w:type="fixed"/>
        <w:tblLook w:val="0000"/>
      </w:tblPr>
      <w:tblGrid>
        <w:gridCol w:w="899"/>
        <w:gridCol w:w="5427"/>
        <w:gridCol w:w="1500"/>
        <w:gridCol w:w="1199"/>
        <w:tblGridChange w:id="0">
          <w:tblGrid>
            <w:gridCol w:w="899"/>
            <w:gridCol w:w="5427"/>
            <w:gridCol w:w="1500"/>
            <w:gridCol w:w="11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cadastrar meu perfil acadêmico (formação, linha de pesquisa, instituição).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cadastrar e vincular meus alunos orientandos ao meu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visualizar o painel de projetos de todos os meus orientandos.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conversar com o LLM sobre minhas atividades acadêmicas dentro do contexto dos documentos carregados.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fazer upload e analisar documentos enviados pelos alunos com apoio do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registrar e validar prontuários de reuniões de orientação.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criar tarefas para meus orientandos com prazos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registrar e publicar feedback textual sobre o trabalho do aluno.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receber alertas sobre tarefas atrasadas dos meus orientandos.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analisar a coerência entre problema, objetivos e metodologia de uma dissertação com apoio do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consultar artigos científicos por meio do LLM a partir de documentos carregados.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comparar a estrutura de diferentes trabalhos acadêmicos.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gerar relatórios de acompanhamento individuais por orientando.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visualizar indicadores consolidados das minhas orientações ativas.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configurar o provedor de LLM utilizado pelo sistema (externo ou local).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visualizar o log de interações dos meus orientandos com 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PROF17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professor, quero exportar o histórico de orientação de um aluno (prontuários, tarefas, feedbacks).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6.2 Backlog do Aluno</w:t>
      </w:r>
      <w:r w:rsidDel="00000000" w:rsidR="00000000" w:rsidRPr="00000000">
        <w:rPr>
          <w:rtl w:val="0"/>
        </w:rPr>
      </w:r>
    </w:p>
    <w:tbl>
      <w:tblPr>
        <w:tblStyle w:val="Table12"/>
        <w:tblW w:w="9025.0" w:type="dxa"/>
        <w:jc w:val="left"/>
        <w:tblInd w:w="-120.0" w:type="dxa"/>
        <w:tblLayout w:type="fixed"/>
        <w:tblLook w:val="0000"/>
      </w:tblPr>
      <w:tblGrid>
        <w:gridCol w:w="899"/>
        <w:gridCol w:w="5427"/>
        <w:gridCol w:w="1500"/>
        <w:gridCol w:w="1199"/>
        <w:tblGridChange w:id="0">
          <w:tblGrid>
            <w:gridCol w:w="899"/>
            <w:gridCol w:w="5427"/>
            <w:gridCol w:w="1500"/>
            <w:gridCol w:w="11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cadastrar meu perfil acadêmico (programa, linha de pesquisa, orientador).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cadastrar meu projeto de pesquisa (problema, objetivos, metodologia).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conversar com o LLM sobre minha pesquisa a partir dos documentos que carreguei.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fazer upload de artigos, capítulos de dissertação e outros documentos acadêmicos.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 /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fazer perguntas sobre o conteúdo dos meus documentos e receber respostas rastreáveis às fontes.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visualizar as tarefas definidas pelo meu orientador e seu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enviar documentos para revisão do meu orientador.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visualizar os feedbacks recebidos do meu orientador.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visualizar os prontuários das minhas reuniões (validados e com marca d'água quando pendentes).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criar e editar documentos acadêmicos em Markdown ou LaTeX com apoio do LLM como revisor.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receber sugestões de melhoria de escrita do LLM sem que ele escreva por mim.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pesquisar artigos por tema e receber triagem de relevância baseada em título e resumo.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comparar artigos científicos com base em seus metadados e resumos.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verificar a conformidade das minhas referências com as normas ABNT.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criar e gerenciar um cronograma da minha pesquisa vinculado ao Kanban.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acompanhar o progresso geral da minha dissertação/tese em um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identificar lacunas na literatura a partir de documentos que carregue, com apoio do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visualizar o histórico de todas as minhas interações com o LLM por módulo 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ALU19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Como aluno, quero me preparar para a qualificação ou defesa com suporte do LLM para simulação de perguntas.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Co-Revisão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1"/>
        <w:spacing w:after="120" w:before="320" w:lineRule="auto"/>
        <w:rPr/>
      </w:pPr>
      <w:bookmarkStart w:colFirst="0" w:colLast="0" w:name="_heading=h.mc5aw34dljd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6.3 Backlog do Sistema — Requisitos de Governança e Não Funcionais</w:t>
      </w:r>
      <w:r w:rsidDel="00000000" w:rsidR="00000000" w:rsidRPr="00000000">
        <w:rPr>
          <w:rtl w:val="0"/>
        </w:rPr>
      </w:r>
    </w:p>
    <w:tbl>
      <w:tblPr>
        <w:tblStyle w:val="Table13"/>
        <w:tblW w:w="9025.0" w:type="dxa"/>
        <w:jc w:val="left"/>
        <w:tblInd w:w="-120.0" w:type="dxa"/>
        <w:tblLayout w:type="fixed"/>
        <w:tblLook w:val="0000"/>
      </w:tblPr>
      <w:tblGrid>
        <w:gridCol w:w="899"/>
        <w:gridCol w:w="4726"/>
        <w:gridCol w:w="2300"/>
        <w:gridCol w:w="1100"/>
        <w:tblGridChange w:id="0">
          <w:tblGrid>
            <w:gridCol w:w="899"/>
            <w:gridCol w:w="4726"/>
            <w:gridCol w:w="23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4" w:val="single"/>
              <w:bottom w:color="1a3a5c" w:space="0" w:sz="6" w:val="single"/>
              <w:right w:color="1a3a5c" w:space="0" w:sz="4" w:val="single"/>
            </w:tcBorders>
            <w:shd w:fill="1a3a5c" w:val="clear"/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Todas as interações com o LLM devem ser registradas com usuário, módulo, modelo utilizado, data, hora e resumo da interação.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Rastreabilidade / Governança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Nenhuma saída da IA com impacto acadêmico coletivo deve ser visível ao orientando sem validação explícita do orientador.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Governança / Supervisão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Documentos pendentes de validação devem ser exibidos ao orientando com marca d'água "Aguardando validação do orientador".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Interface / Signifier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distinguir visualmente e na exportação o conteúdo autoral do conteúdo gerado ou sugerido pela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Integridade Acadêmica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suportar pelo menos dois provedores de LLM configuráveis, incluindo uma opção de LLM local (Ollama).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Independência de 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estar em conformidade com a LGPD: consentimento explícito, política de privacidade acessível, mecanismo de exclusão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Conformidade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Gravações de reuniões devem ser descartadas após geração da transcrição, salvo consentimento explícito de todos os participantes.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Privacidade / 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ser acessível via navegador web moderno sem instalação de software adicional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apresentar o nome do provedor e o modelo de LLM utilizado em cada resposta gerada.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Transparência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Respostas do LLM devem ser acompanhadas de aviso explícito sobre possibilidade de imprecisões e necessidade de verificação em fontes primárias.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Integridade Acadêmica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deve implementar autenticação segura com controle de acesso baseado em perfis (professor / aluno).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O sistema não deve expor campos de entrada de texto livre ao LLM sem sanitização prévia contra prompt injection.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3a5c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2d2d"/>
                <w:rtl w:val="0"/>
              </w:rPr>
              <w:t xml:space="preserve">SYS13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Administradores institucionais devem poder visualizar relatórios de uso do LLM por programa, sem acesso ao conteúdo das interações individuais.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Governança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pStyle w:val="Heading1"/>
        <w:pBdr>
          <w:bottom w:color="2e6da4" w:space="0" w:sz="8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3a5c"/>
          <w:sz w:val="36"/>
          <w:szCs w:val="3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Análise de Riscos — NIST AI RMF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80" w:lineRule="auto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Este documento apresenta o Checklist Transversal de Riscos do projeto OrientAI, elaborado como artefato regulatório da proposta de sistema. Dos dez itens transversais disponíveis (T01 a T10), foram selecionados os cinco de maior relevância e aplicabilidade ao contexto específico da plataforma — uma LLM para suporte à orientação em pós-graduação com foco em integridade acadêmica.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60" w:before="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before="80" w:lineRule="auto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A seleção considerou três critérios: (1) a probabilidade e o impacto potencial do risco no contexto de pós-graduação brasileiro; (2) a existência de medidas de mitigação concretas e implementáveis no escopo do projeto; e (3) a ancoragem normativa em subcategorias específicas do NIST AI RMF 1.0. Para cada item selecionado, este documento apresenta a justificativa de aplicabilidade, o(s) risco(s) ou problema(s) associado(s) e pelo menos uma medida de mitigação adequada ao cenário.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Tabela 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Itens Selecionados</w:t>
      </w:r>
    </w:p>
    <w:tbl>
      <w:tblPr>
        <w:tblStyle w:val="Table1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5"/>
        <w:gridCol w:w="1815"/>
        <w:gridCol w:w="5640"/>
        <w:gridCol w:w="945"/>
        <w:tblGridChange w:id="0">
          <w:tblGrid>
            <w:gridCol w:w="615"/>
            <w:gridCol w:w="1815"/>
            <w:gridCol w:w="5640"/>
            <w:gridCol w:w="9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Razão da Seleção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Dependência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O sistema depende de múltiplas APIs de LLMs externos cuja continuidade e termos de serviço estão fora do controle do projeto.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62828"/>
                <w:sz w:val="18"/>
                <w:szCs w:val="18"/>
                <w:rtl w:val="0"/>
              </w:rPr>
              <w:t xml:space="preserve">R1, R2, </w:t>
            </w:r>
            <w:r w:rsidDel="00000000" w:rsidR="00000000" w:rsidRPr="00000000">
              <w:rPr>
                <w:rFonts w:ascii="Calibri" w:cs="Calibri" w:eastAsia="Calibri" w:hAnsi="Calibri"/>
                <w:color w:val="c62828"/>
                <w:sz w:val="18"/>
                <w:szCs w:val="18"/>
                <w:rtl w:val="0"/>
              </w:rPr>
              <w:t xml:space="preserve">R3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Explicabilidade e Transparência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A integridade acadêmica exige que usuários compreendam a origem e a confiabilidade de cada saída gerada pelo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62828"/>
                <w:sz w:val="18"/>
                <w:szCs w:val="18"/>
                <w:rtl w:val="0"/>
              </w:rPr>
              <w:t xml:space="preserve">R5, R7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Supervisão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O orientador é o ponto de controle obrigatório para todo conteúdo de impacto acadêmico — elemento arquitetural inegociável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62828"/>
                <w:sz w:val="18"/>
                <w:szCs w:val="18"/>
                <w:rtl w:val="0"/>
              </w:rPr>
              <w:t xml:space="preserve">R12, R15, R16, 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Privacidade e 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O sistema transmite dados acadêmicos sensíveis a servidores externos; a conformidade com a LGPD é mandatória.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62828"/>
                <w:sz w:val="18"/>
                <w:szCs w:val="18"/>
                <w:rtl w:val="0"/>
              </w:rPr>
              <w:t xml:space="preserve">R10, R9, 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Capacitação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left"/>
              <w:rPr>
                <w:color w:val="1f1f1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1f1f"/>
                <w:sz w:val="20"/>
                <w:szCs w:val="20"/>
                <w:rtl w:val="0"/>
              </w:rPr>
              <w:t xml:space="preserve">O funcionamento correto do sistema depende da compreensão ativa dos usuários sobre as restrições e o papel do LLM.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c62828"/>
                <w:sz w:val="18"/>
                <w:szCs w:val="18"/>
                <w:rtl w:val="0"/>
              </w:rPr>
              <w:t xml:space="preserve">E7, E1</w:t>
            </w:r>
            <w:r w:rsidDel="00000000" w:rsidR="00000000" w:rsidRPr="00000000">
              <w:rPr>
                <w:rFonts w:ascii="Calibri" w:cs="Calibri" w:eastAsia="Calibri" w:hAnsi="Calibri"/>
                <w:color w:val="c62828"/>
                <w:sz w:val="18"/>
                <w:szCs w:val="18"/>
                <w:rtl w:val="0"/>
              </w:rPr>
              <w:t xml:space="preserve">, E2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60" w:before="60" w:lineRule="auto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Fonte: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Autor (2026)</w:t>
      </w:r>
    </w:p>
    <w:p w:rsidR="00000000" w:rsidDel="00000000" w:rsidP="00000000" w:rsidRDefault="00000000" w:rsidRPr="00000000" w14:paraId="00000241">
      <w:pPr>
        <w:spacing w:after="80" w:before="80" w:lineRule="auto"/>
        <w:jc w:val="both"/>
        <w:rPr>
          <w:rFonts w:ascii="Calibri" w:cs="Calibri" w:eastAsia="Calibri" w:hAnsi="Calibri"/>
          <w:color w:val="1f1f1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Na coluna “Riscos”,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RX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indica risco 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1f1f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color w:val="1f1f1f"/>
          <w:rtl w:val="0"/>
        </w:rPr>
        <w:t xml:space="preserve"> indica efeito ou impacto associado</w:t>
      </w:r>
    </w:p>
    <w:p w:rsidR="00000000" w:rsidDel="00000000" w:rsidP="00000000" w:rsidRDefault="00000000" w:rsidRPr="00000000" w14:paraId="00000242">
      <w:pPr>
        <w:spacing w:after="60" w:before="6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1f1f"/>
          <w:sz w:val="22"/>
          <w:szCs w:val="22"/>
          <w:rtl w:val="0"/>
        </w:rPr>
        <w:t xml:space="preserve">Itens não selecionados: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T02, T03, T05, T08, T09 — embora relevantes ao campo da IA em geral, apresentam menor criticidade imediata no escopo do MVP do OrientAI ou são parcialmente cobertos pelas mitigações dos itens selecionados. </w:t>
      </w:r>
    </w:p>
    <w:p w:rsidR="00000000" w:rsidDel="00000000" w:rsidP="00000000" w:rsidRDefault="00000000" w:rsidRPr="00000000" w14:paraId="00000244">
      <w:pPr>
        <w:spacing w:after="80" w:before="80" w:lineRule="auto"/>
        <w:jc w:val="both"/>
        <w:rPr>
          <w:rFonts w:ascii="Calibri" w:cs="Calibri" w:eastAsia="Calibri" w:hAnsi="Calibri"/>
          <w:color w:val="1f1f1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1"/>
        <w:spacing w:after="120" w:before="320" w:lineRule="auto"/>
        <w:rPr/>
      </w:pPr>
      <w:bookmarkStart w:colFirst="0" w:colLast="0" w:name="_heading=h.rkfidsead9v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7.1 Checklist de Riscos — Itens Selecionados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611a" w:space="0" w:sz="6" w:val="single"/>
              <w:left w:color="d4611a" w:space="0" w:sz="6" w:val="single"/>
              <w:bottom w:color="d4611a" w:space="0" w:sz="6" w:val="single"/>
              <w:right w:color="000000" w:space="0" w:sz="0" w:val="nil"/>
            </w:tcBorders>
            <w:shd w:fill="d4611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000000" w:space="0" w:sz="0" w:val="nil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100.0" w:type="dxa"/>
              <w:left w:w="20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Dependência Tecnológica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JUSTIFICATIVA DE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80" w:lineRule="auto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O OrientAI integra-se estruturalmente a APIs de LLMs externos (OpenAI, Anthropic, Google, Groq, Nvidia, OpenRouter) para executar as funções centrais dos módulos de Co-Revisão Acadêmica, Snapshot de Reunião e interação direta com o LLM.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Essa integração coloca componentes críticos da plataforma sob dependência de fornecedores externos, cujas tecnologias e serviços não estão integralmente sob controle do projeto (UNESCO, 2023). O risco é aplicável porque alterações, falhas ou limitações nesses componentes externos podem afetar o funcionamento e a continuidade dos serviços que deles dependem, exigindo que os riscos associados a tecnologias de terceiros sejam identificados e gerenciados (NIST, 2023).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62828"/>
          <w:sz w:val="20"/>
          <w:szCs w:val="20"/>
          <w:rtl w:val="0"/>
        </w:rPr>
        <w:t xml:space="preserve">RISCO OU PROBLEMA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Vendor lock-in estrutural (R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): concentração excessiva em um único provedor torna o sistema vulnerável a descontinuações e mudanças unilaterais de condições de serviço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(NIST, 2023, GOVERN 6.1).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Interrupção de serviço (R3): falha ou indisponibilidade de API externa desativa os módulos centrais da plataforma sem mecanismo de fallback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, comprometendo as sessões de orientação e outras funcionalidades dependentes do provedor externo (NIST, 2023, GOVERN 6.2).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Mudança de termos de uso: provedores podem alterar suas políticas de privacidade e uso de dados, impactando a conformidade da plataforma com a LGPD — especialmente no que diz respeito ao uso de dados enviados via API para treinamento de modelos futuros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(BRASIL, 2018, art. 6º)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Falta de portabilidade de dados (R2): metadados, históricos de interação e parâmetros de configuração armazenados em ecossistemas proprietários podem ser difíceis ou impossíveis de migrar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(NIST, 2023, MAP 4.1).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MEDIDAS DE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Arquitetura modular com camada de abstração de LLM (SYS05): a plataforma deve utilizar um adaptador genérico configurável que suporte múltiplos provedores sem reescrita de código — troca de provedor deve ser uma operação de configuração, não de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Suporte a pelo menos dois provedores externos simultâneos com configuração de fallback automático: em caso de falha do provedor primário, o sistema ativa o secundário sem interrupção percebida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Inclusão obrigatória do Ollama como alternativa local privacy-first: garante operação sem dependência de Internet e elimina o risco de transmissão de dados a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Exportação de todos os dados em formatos abertos (Markdown, JSON, PDF): nenhum dado acadêmico fica preso em formato proprietário — a migração de plataforma não deve implicar perda de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Plano de contingência documentado para troca de provedor: procedimento executável em menos de 24 horas, com checklist de validação e critérios de ativação.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Revisão anual de fornecedores: avaliação periódica dos provedores ativos em relação a disponibilidade histórica, preço, política de privacidade e qualidade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326"/>
        <w:gridCol w:w="2200"/>
        <w:tblGridChange w:id="0">
          <w:tblGrid>
            <w:gridCol w:w="3500"/>
            <w:gridCol w:w="33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Ancoragem NIST AI RMF: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GOVERN 6.1 / GOVERN 6.2 / MAP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Risco(s) mapeado(s):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R1 (vendor lock-in), R2 (portabilidade)</w:t>
            </w:r>
            <w:r w:rsidDel="00000000" w:rsidR="00000000" w:rsidRPr="00000000">
              <w:rPr>
                <w:rFonts w:ascii="Calibri" w:cs="Calibri" w:eastAsia="Calibri" w:hAnsi="Calibri"/>
                <w:color w:val="b8d4f0"/>
                <w:sz w:val="18"/>
                <w:szCs w:val="18"/>
                <w:rtl w:val="0"/>
              </w:rPr>
              <w:t xml:space="preserve">, R3 (interrupção externa)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Nível de risco: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5d6a7"/>
                <w:sz w:val="18"/>
                <w:szCs w:val="18"/>
                <w:rtl w:val="0"/>
              </w:rPr>
              <w:t xml:space="preserve">Médio probabilidade / Alto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611a" w:space="0" w:sz="6" w:val="single"/>
              <w:left w:color="d4611a" w:space="0" w:sz="6" w:val="single"/>
              <w:bottom w:color="d4611a" w:space="0" w:sz="6" w:val="single"/>
              <w:right w:color="000000" w:space="0" w:sz="0" w:val="nil"/>
            </w:tcBorders>
            <w:shd w:fill="d4611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000000" w:space="0" w:sz="0" w:val="nil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100.0" w:type="dxa"/>
              <w:left w:w="20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Explicabilidade e Transparência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JUSTIFICATIVA DE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80" w:lineRule="auto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A integridade acadêmica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 razão de ser do OrientAI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 depende da capacidade dos usuários de avaliar criticamente as saídas do LLM,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uma vez que os resultados produzidos por sistemas de IA generativa não devem ser considerados confiáveis sem avaliação crítica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(UNESCO, 2023)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1f1f"/>
          <w:sz w:val="22"/>
          <w:szCs w:val="22"/>
          <w:rtl w:val="0"/>
        </w:rPr>
        <w:t xml:space="preserve">. No contexto da pós-graduação, aceitar acriticamente uma sugestão de escrita não fundamentada, uma triagem bibliográfica imprecisa ou um prontuário de reunião com distorções pode comprometer a validade científica de dissertações e teses.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 LLMs produzem respostas com base em probabilidades e não compreendem o conteúdo que geram, podendo produzir informações incorretas mesmo quando o texto aparenta ser convincente (UNESCO, 2023). Sem mecanismos explícitos de transparência e explicabilidade dificulta a identificação e o tratamento do risco de alucinações, contribuindo para sua permanência em vez de mitigá-lo (UNESCO,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62828"/>
          <w:sz w:val="20"/>
          <w:szCs w:val="20"/>
          <w:rtl w:val="0"/>
        </w:rPr>
        <w:t xml:space="preserve">RISCO OU PROBLEMA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Alucinações acriticamente aceitas (R5): o LLM cita referências inexistentes ou afirma fatos incorretos; o usuário, sem mecanismo de verificação, incorpora o conteúdo ao trabalho acadêmico, comprometendo sua integridade científica (NIST, 2023, MEASURE 2.6) (UNESCO,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Opacidade sobre o modelo utilizado: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quando o usuário não sabe qual modelo gerou a resposta, fica mais difícil compreender suas limitações e avaliar adequadamente o resultado apresentado (NIST, 2023, MEASURE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Ausência de rastreabilidade entre resposta e fonte documental: no módulo de Co-Revisão,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quando a sugestão não indica em qual trecho do documento carregado se baseia, o usuário tem mais dificuldade para verificar sua origem e avaliar o resultado apresentado (NIST, 2023, MEASURE 2.6).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Confusão entre sugestão e afirmação verificada (R7): a fluência natural do LLM induz usuários a tratar outputs probabilísticos como verdades estabelecidas, especialmente em domínios onde não têm expertise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(NIST, 2023, MEASURE 2.9) (UNESCO,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MEDIDAS DE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RAG (Retrieval-Augmented Generation) mandatório nos módulos de Co-Revisão e pesquisa bibliográfica: toda resposta deve ser fundamentada em documentos reais carregados pelo usuário, com citação explícita do trecho-fonte que sustenta cada afirmação.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Aviso padrão de incerteza em toda resposta (SYS10): "Esta resposta pode conter imprecisões. Verifique as fontes primárias antes de incorporar ao trabalho acadêmico." — não suprimível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Badge de provedor e modelo (SYS09): exibição permanente e obrigatória do nome do provedor e versão do modelo em cada resposta, permitindo ao usuário pesquisar as limitações específicas daquele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Marcação de autoria em documentos (SYS04): distinção visual explícita e preservada na exportação entre conteúdo autoral e conteúdo gerado ou sugerido pela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sugestão de escrita: ao recomendar melhoria de texto, o sistema exibe o critério que fundamenta a sugestão (ex: "Este trecho apresenta ambiguidade referencial segundo os critérios de clareza definidos.").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Proibição de geração de referências bibliográficas pelo LLM: o sistema verifica conformidade ABNT de referências fornecidas pelo usuário — nunca gera citações, que são uma das principais fontes de alucinações acadêmicas.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326"/>
        <w:gridCol w:w="2200"/>
        <w:tblGridChange w:id="0">
          <w:tblGrid>
            <w:gridCol w:w="3500"/>
            <w:gridCol w:w="33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Ancoragem NIST AI RMF: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MEASURE 2.9 / MAP 2.2 / MEASURE 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Risco(s) mapeado(s):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R5 (alucinações), R7 (explicabilidade)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Nível de risco: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5d6a7"/>
                <w:sz w:val="18"/>
                <w:szCs w:val="18"/>
                <w:rtl w:val="0"/>
              </w:rPr>
              <w:t xml:space="preserve">Alto probabilidade / Alto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611a" w:space="0" w:sz="6" w:val="single"/>
              <w:left w:color="d4611a" w:space="0" w:sz="6" w:val="single"/>
              <w:bottom w:color="d4611a" w:space="0" w:sz="6" w:val="single"/>
              <w:right w:color="000000" w:space="0" w:sz="0" w:val="nil"/>
            </w:tcBorders>
            <w:shd w:fill="d4611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000000" w:space="0" w:sz="0" w:val="nil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100.0" w:type="dxa"/>
              <w:left w:w="20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Supervisão Humana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JUSTIFICATIVA DE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O OrientAI opera no domínio da orientação acadêmica em pós-graduação — contexto de alta responsabilidade formativa onde cada decisão tem impacto direto na trajetória de pesquisadores em formação.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validação do orientador não é apenas uma funcionalidade do sistema, mas uma propriedade arquitetural que mantém as decisões acadêmicas sob responsabilidade humana (UNESCO, 2023).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A literatura de HCAI (Shneiderman, 2020; Garibay et al., 2023) e o NIST AI RMF (MAP 3.5, GOVERN 3.2) são explícitos: sistemas que intermediam decisões com efeito relevante sobre pessoas devem manter alto controle humano mesmo operando com alta automação.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Sem mecanismos robustos de supervisão, aumenta o risco de que as saídas do modelo assumam um papel indevido no julgamento pedagógico do orientador.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62828"/>
          <w:sz w:val="20"/>
          <w:szCs w:val="20"/>
          <w:rtl w:val="0"/>
        </w:rPr>
        <w:t xml:space="preserve">RISCO OU PROBLEMA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Automação indevida de decisões com impacto formativo (R15): prontuários de reunião imprecisos publicados ao orientando sem revisão; feedbacks gerados pelo LLM sobre qualidade acadêmica de trabalhos tratados como avaliações definitivas do orientador (UNESCO, 2021) (NIST, 2023, MAP 2.2).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Erosão da autoridade pedagógica do orientador (E3):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delegação inadequada de decisões ao LLM pode reduzir a participação efetiva do orientador no processo de orientação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— risco particularmente crítico quando o uso do sistema se torna rotineiro e a revisão passa a ser superficial(UNESCO,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Decisões sem possibilidade de contestação (R12): o orientando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pode não dispor um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mecanismo claro de solicitar revisão de conteúdo gerado pela IA que não tenha sido devidamente validado pelo orientador(UNESCO,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Ausência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ou insuficiência de supervisão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humana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(R16): sem log de supervisão,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torna-se difícil distinguir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 quais decisões foram tomadas pelo orientador versus geradas automaticamente pela plataforma — comprometendo a integridade do registro de orientação (UNESCO, 2021) (NIST,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MEDIDAS DE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Fluxo de validação obrigatório e incontornável (SYS02): nenhuma saída da IA com impacto acadêmico coletivo — prontuários de reunião, feedbacks sobre trabalhos, avaliações de coerência metodológica — é publicada ao orientando sem aprovação explícita do orientador por ação deliberada na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Marca d'água automática em documentos pendentes (SYS03): o orientando visualiza o prontuário com a marca "Aguardando validação do orientador" em todas as páginas, deixando inequívoca a natureza provisória do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Interface de edição antes da aprovação: o orientador pode modificar, rejeitar ou solicitar reprocessamento de qualquer prontuário gerado pelo LLM antes de aprová-lo — a aprovação não é uma operação binária (aceitar/rejeitar), mas inclui a possibilidade de edição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Log de supervisão auditável: o sistema registra, por data e hora, qual conteúdo foi validado pelo orientador, quais edições foram realizadas e quais reprocessamentos foram solicitados — criando um histórico auditável da cadeia de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Restrição formal de escopo do LLM: por design de prompt de sistema, o LLM não emite juízos sobre mérito científico de pesquisas — apenas aponta aspectos formais e estruturais. A avaliação de conteúdo permanece exclusivamente com o orientador.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Alertas de pendência de validação: o sistema notifica o orientador sobre prontuários aguardando validação há mais de N dias configuráveis, prevenindo atrasos que degradem a utilidade do mecanismo de supervisão.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326"/>
        <w:gridCol w:w="2200"/>
        <w:tblGridChange w:id="0">
          <w:tblGrid>
            <w:gridCol w:w="3500"/>
            <w:gridCol w:w="33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Ancoragem NIST AI RMF: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MAP 3.5 / GOVERN 3.2 / MANAGE 4.1 / </w:t>
            </w:r>
            <w:r w:rsidDel="00000000" w:rsidR="00000000" w:rsidRPr="00000000">
              <w:rPr>
                <w:rFonts w:ascii="Calibri" w:cs="Calibri" w:eastAsia="Calibri" w:hAnsi="Calibri"/>
                <w:color w:val="b8d4f0"/>
                <w:sz w:val="18"/>
                <w:szCs w:val="18"/>
                <w:rtl w:val="0"/>
              </w:rPr>
              <w:t xml:space="preserve">MAP 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Risco(s) mapeado(s): </w:t>
            </w:r>
            <w:r w:rsidDel="00000000" w:rsidR="00000000" w:rsidRPr="00000000">
              <w:rPr>
                <w:rFonts w:ascii="Calibri" w:cs="Calibri" w:eastAsia="Calibri" w:hAnsi="Calibri"/>
                <w:color w:val="b8d4f0"/>
                <w:sz w:val="18"/>
                <w:szCs w:val="18"/>
                <w:rtl w:val="0"/>
              </w:rPr>
              <w:t xml:space="preserve">R15 (automação indevida de decisões), E3 (redução do controle pedagógico), R12 (falta de contestação) e R16 (baixa auditabilidade)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Nível de risco: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d54f"/>
                <w:sz w:val="18"/>
                <w:szCs w:val="18"/>
                <w:rtl w:val="0"/>
              </w:rPr>
              <w:t xml:space="preserve">CRÍTICO — Alto probabilidade / Alto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611a" w:space="0" w:sz="6" w:val="single"/>
              <w:left w:color="d4611a" w:space="0" w:sz="6" w:val="single"/>
              <w:bottom w:color="d4611a" w:space="0" w:sz="6" w:val="single"/>
              <w:right w:color="000000" w:space="0" w:sz="0" w:val="nil"/>
            </w:tcBorders>
            <w:shd w:fill="d4611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000000" w:space="0" w:sz="0" w:val="nil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100.0" w:type="dxa"/>
              <w:left w:w="20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Privacidade e Proteção de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JUSTIFICATIVA DE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80" w:before="80" w:lineRule="auto"/>
        <w:jc w:val="both"/>
        <w:rPr>
          <w:color w:val="1f1f1f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O OrientAI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processa informações acadêmicas que podem conter dados pessoais e conteúdo de caráter confidencial, como projetos de pesquisa inédita ainda não publicados, transcrições de reuniões de orientação com teor sigiloso, versões parciais de dissertações e teses e feedbacks sobre desempenho acadêmico individual. Quando essas informações são encaminhadas a provedores externos de LLM, ocorre tratamento de dados por meio de operações como transmissão e processamento, podendo haver participação de terceiros nesse tratamento conforme a relação estabelecida com o controlador (BRASIL, 2018, art. 5º). Nesse contexto, a LGPD exige que os agentes de tratamento adotem medidas técnicas e administrativas adequadas para proteger os dados pessoais contra acessos não autorizados e situações acidentais ou ilícitas de tratamento (BRASIL, 2018, art. 46).</w:t>
      </w:r>
      <w:r w:rsidDel="00000000" w:rsidR="00000000" w:rsidRPr="00000000">
        <w:rPr>
          <w:rFonts w:ascii="Calibri" w:cs="Calibri" w:eastAsia="Calibri" w:hAnsi="Calibri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62828"/>
          <w:sz w:val="20"/>
          <w:szCs w:val="20"/>
          <w:rtl w:val="0"/>
        </w:rPr>
        <w:t xml:space="preserve">RISCO OU PROBLEMA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Transmissão de dados acadêmicos sensíveis a servidores externos sem avaliação adequada das políticas de privacidade dos provedores de LLM (R10):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o tratamento posterior dos dados por provedores externos para finalidades incompatíveis com aquelas originalmente informadas pode caracterizar desvio de finalidade (BRASIL, 2018, art. 6º) (NIST, 2023, MEASURE 2.7; MEASURE 2.10).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Armazenamento prolongado de gravações de reunião de orientação (R9):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retenção de registros de áudio e vídeo por período superior ao necessário amplia a exposição a acessos não autorizados e pode contrariar os princípios da necessidade e da limitação do tratamento à finalidade definida (BRASIL, 2018, art. 6º).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Ausência de mecanismo de exclusão de dados (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E6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inexistência de mecanismo para atender solicitações de eliminação pode impedir o exercício dos direitos do titular previstos na LGPD (BRASIL, 2018, art. 18 e art.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Falta de política de privacidade clara: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ausência de informações acessíveis sobre quais dados são tratados, suas finalidades, duração do tratamento e eventual compartilhamento dificulta o exercício dos direitos do titular (BRASIL, 2018, art. 6º e art. 9º).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Ausência de avaliação de conformidade dos provedores de LLM: a aceitação automática dos termos de serviço de provedores sem análise jurídica específica pode criar passivos regulatórios para a instituição (NIST, 2023, MAP 4.1, MANAGE 3.1).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MEDIDAS DE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Política de privacidade clara, acessível e em linguagem não técnica (SYS06): declaração explícita de quais dados são coletados, com qual finalidade, por quanto tempo são retidos, com quem são compartilhados e como o usuário pode exercer seus direitos — exibida no cadastro e acessível a qualquer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Consentimento informado no cadastro: especificação explícita do uso de LLMs externos e das implicações para dados pessoais e de pesquisa, incluindo os países onde os dados podem ser processados.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Descarte automático de gravações após geração da transcrição (SYS07): gravações de reunião são descartadas imediatamente após a transcrição; armazenamento prolongado ocorre apenas mediante consentimento explícito de todos 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Opção de LLM local (Ollama) para dados sensíveis: usuários e instituições que exijam que nenhum dado saia de sua infraestrutura devem poder operar o sistema completamente com modelos locais, sem degradação das funcionalidades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Avaliação prévia de política de privacidade de provedores de LLM: antes de disponibilizar um novo provedor, a equipe avalia explicitamente se o provedor utiliza dados de API para treinamento de modelos e documenta essa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Mecanismo de exclusão de dados implementado (Art. 18 LGPD): o usuário pode solicitar a exclusão de todos os seus dados a qualquer momento, com confirmação de execução em até 72 horas e registro auditável da exclusão.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326"/>
        <w:gridCol w:w="2200"/>
        <w:tblGridChange w:id="0">
          <w:tblGrid>
            <w:gridCol w:w="3500"/>
            <w:gridCol w:w="33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Ancoragem NIST AI RMF: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MEASURE 2.10 / </w:t>
            </w:r>
            <w:r w:rsidDel="00000000" w:rsidR="00000000" w:rsidRPr="00000000">
              <w:rPr>
                <w:rFonts w:ascii="Calibri" w:cs="Calibri" w:eastAsia="Calibri" w:hAnsi="Calibri"/>
                <w:color w:val="b8d4f0"/>
                <w:sz w:val="18"/>
                <w:szCs w:val="18"/>
                <w:rtl w:val="0"/>
              </w:rPr>
              <w:t xml:space="preserve">MEASURE 2.7 / MAP 4.1 / MANAGE 3.1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Risco(s) mapeado(s):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d4f0"/>
                <w:sz w:val="18"/>
                <w:szCs w:val="18"/>
                <w:rtl w:val="0"/>
              </w:rPr>
              <w:t xml:space="preserve">R10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d4f0"/>
                <w:sz w:val="18"/>
                <w:szCs w:val="18"/>
                <w:rtl w:val="0"/>
              </w:rPr>
              <w:t xml:space="preserve">(exposição de dados), R9 (retenção de gravações) e E6 (limitação de exclusão)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Nível de risco: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5d6a7"/>
                <w:sz w:val="18"/>
                <w:szCs w:val="18"/>
                <w:rtl w:val="0"/>
              </w:rPr>
              <w:t xml:space="preserve">Baixa probabilidade / Alto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611a" w:space="0" w:sz="6" w:val="single"/>
              <w:left w:color="d4611a" w:space="0" w:sz="6" w:val="single"/>
              <w:bottom w:color="d4611a" w:space="0" w:sz="6" w:val="single"/>
              <w:right w:color="000000" w:space="0" w:sz="0" w:val="nil"/>
            </w:tcBorders>
            <w:shd w:fill="d4611a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000000" w:space="0" w:sz="0" w:val="nil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100.0" w:type="dxa"/>
              <w:left w:w="20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8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Capacitação dos Usuários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0"/>
          <w:szCs w:val="20"/>
          <w:rtl w:val="0"/>
        </w:rPr>
        <w:t xml:space="preserve">JUSTIFICATIVA DE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O OrientAI opera com restrições deliberadas e mecanismos de governança que são, em si mesmos, o diferencial ético e regulatório do produto: o LLM não escreve pelo usuário; o orientador valida antes do orientando visualizar; as fontes são rastreadas; os modelos são identificados.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efetividade desses mecanismos depende também da compreensão ativa dos usuários sobre seus papéis, responsabilidades e limitações do sistema.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Um professor que aprova prontuários sem lê-los anula o mecanismo de supervisão. Um aluno que não compreende o aviso de incerteza do LLM aceita alucinações como fatos verificados. Um docente que desconhece o conceito de RAG pode questionar por que o sistema "não sabe" responder sobre um artigo que ele não carregou.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Sem capacitação adequada, esses mecanismos podem ser aplicados de forma superficial, reduzindo sua capacidade de prevenir erros e usos inadequados da IA (UNESCO,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62828"/>
          <w:sz w:val="20"/>
          <w:szCs w:val="20"/>
          <w:rtl w:val="0"/>
        </w:rPr>
        <w:t xml:space="preserve">RISCO OU PROBLEMA ASSOCIADO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Uso inadequado por falta de capacitação (E7):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a falta de preparação dos diferentes perfis de usuário pode levar à aplicação inadequada dos mecanismos de governança do sistema, como aprovação de conteúdo sem revisão efetiva, interpretação incorreta de métricas ou uso inadequado das funcionalidades disponíveis (NIST, 2023, GOVERN 2.2; MAP 3.4).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Dependência excessiva do LLM (E1):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usuários que não compreendem adequadamente 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 as limitações do LLM aceitam todas as sugestões acriticamente, comprometendo o desenvolvimento de autonomia cognitiva e habilidades metacognitivas — objetivo formativo central da pós-graduação(UNESCO,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Interpretação equivocada dos avisos do sistema (E2): usuários que não compreendem o aviso de incerteza ou a marcação de autoria da IA podem confundir saídas probabilísticas com afirmações verificadas, amplificando o risco de incorporação de alucinações em trabalhos acadêmicos (UNESCO,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Uso fora do escopo intencional: sem treinamento sobre as restrições de cada módulo (por design de prompt), usuários podem tentar usar o sistema para finalidades que violam os princípios de integridade acadêmica que a plataforma busca preservar (NIST, 2023, MAP 3.3) (UNESCO, 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bottom w:color="b0bec5" w:space="0" w:sz="4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d32"/>
          <w:sz w:val="20"/>
          <w:szCs w:val="20"/>
          <w:rtl w:val="0"/>
        </w:rPr>
        <w:t xml:space="preserve">MEDIDAS DE MITIGAÇÃO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Tutorial de onboarding obrigatório e não pulável (GOVERN 2.2): todo novo usuário — professor ou aluno — deve concluir o tutorial correspondente ao seu perfil antes de acessar qualquer funcionalidade. O tutorial é diferenciado: professores recebem formação sobre o fluxo de validação, responsabilidades legais e configuração de provedores; alunos recebem formação sobre limites de autoria, uso responsável da IA e interpretação dos sinais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Alertas contextuais inline nas funcionalidades de maior risco (SYS10): Co-Revisão e triagem bibliográfica exibem, na primeira utilização, um aviso específico sobre suas limitações — não genérico, mas calibrado para o risco específico daquele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Critério de confirmação de entendimento para funcionalidades avançadas : antes de acessar módulos como triagem bibliográfica ou análise de coerência metodológica, o usuário confirma ter compreendido as limitações específicas, com registro da confirmação e da versão do aviso.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Documentação de boas práticas sempre acessível: seção de ajuda contextual com guia de uso responsável de IA no contexto acadêmico, atualizada a cada versão do sistema e vinculada diretamente a cada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Registro de conclusão do onboarding com versão: o sistema registra qual versão do tutorial cada usuário concluiu e a data — permitindo notificar proativamente usuários que precisam ser retreinados em caso de atualização relevante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Capacitação do orientador como multiplicador: orientadores capacitados tornam-se vetores de boas práticas para seus orientandos — o treinamento do professor deve incluir módulo de como orientar o aluno no uso responsável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326"/>
        <w:gridCol w:w="2200"/>
        <w:tblGridChange w:id="0">
          <w:tblGrid>
            <w:gridCol w:w="3500"/>
            <w:gridCol w:w="33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Ancoragem NIST AI RMF: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GOVERN 2.2 / MAP 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Risco(s) mapeado(s):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b8d4f0"/>
                <w:sz w:val="18"/>
                <w:szCs w:val="18"/>
                <w:rtl w:val="0"/>
              </w:rPr>
              <w:t xml:space="preserve">E7 (falta de capacitação), E1 (dependência excessiva), </w:t>
            </w:r>
            <w:r w:rsidDel="00000000" w:rsidR="00000000" w:rsidRPr="00000000">
              <w:rPr>
                <w:rFonts w:ascii="Calibri" w:cs="Calibri" w:eastAsia="Calibri" w:hAnsi="Calibri"/>
                <w:color w:val="b8d4f0"/>
                <w:sz w:val="18"/>
                <w:szCs w:val="18"/>
                <w:rtl w:val="0"/>
              </w:rPr>
              <w:t xml:space="preserve">E2 (interpretação equivocada)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Nível de risco: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5d6a7"/>
                <w:sz w:val="18"/>
                <w:szCs w:val="18"/>
                <w:rtl w:val="0"/>
              </w:rPr>
              <w:t xml:space="preserve">Alto probabilidade / Médio impacto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1"/>
        <w:spacing w:after="120" w:before="320" w:lineRule="auto"/>
        <w:rPr/>
      </w:pPr>
      <w:bookmarkStart w:colFirst="0" w:colLast="0" w:name="_heading=h.z981hk3j4ui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7.2 Mapa de Cobertura de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A tabela a seguir sintetiza os cinco itens analisados, relacionando cada um ao risco principal endereçado, ao nível de risco estimado, à medida de mitigação central e à ancoragem normativa no NIST AI RMF 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2d2d"/>
          <w:sz w:val="22"/>
          <w:szCs w:val="22"/>
          <w:rtl w:val="0"/>
        </w:rPr>
        <w:t xml:space="preserve"> Tabela 2 </w:t>
      </w: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– Mapa de Cobertura de Riscos</w:t>
      </w:r>
    </w:p>
    <w:tbl>
      <w:tblPr>
        <w:tblStyle w:val="Table25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1575"/>
        <w:gridCol w:w="2385"/>
        <w:gridCol w:w="1110"/>
        <w:gridCol w:w="2250"/>
        <w:gridCol w:w="1005"/>
        <w:tblGridChange w:id="0">
          <w:tblGrid>
            <w:gridCol w:w="705"/>
            <w:gridCol w:w="1575"/>
            <w:gridCol w:w="2385"/>
            <w:gridCol w:w="1110"/>
            <w:gridCol w:w="2250"/>
            <w:gridCol w:w="1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Risco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Prob./Imp.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Mitigação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a5c" w:space="0" w:sz="6" w:val="single"/>
              <w:left w:color="1a3a5c" w:space="0" w:sz="6" w:val="single"/>
              <w:bottom w:color="1a3a5c" w:space="0" w:sz="6" w:val="single"/>
              <w:right w:color="1a3a5c" w:space="0" w:sz="6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d2d2d"/>
                <w:sz w:val="20"/>
                <w:szCs w:val="20"/>
                <w:rtl w:val="0"/>
              </w:rPr>
              <w:t xml:space="preserve">Dependência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0" w:before="40" w:lineRule="auto"/>
              <w:rPr>
                <w:rFonts w:ascii="Calibri" w:cs="Calibri" w:eastAsia="Calibri" w:hAnsi="Calibri"/>
                <w:color w:val="2d2d2d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Vendor lock-in; Portabilidade;</w:t>
              <w:br w:type="textWrapping"/>
              <w:t xml:space="preserve"> Interrupção externa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Médio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Arquitetura modular; múltiplos provedores; Ollama local; exportação em formatos abertos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GOVERN 6.1/6.2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d2d2d"/>
                <w:sz w:val="20"/>
                <w:szCs w:val="20"/>
                <w:rtl w:val="0"/>
              </w:rPr>
              <w:t xml:space="preserve">Explicabilidade e Transparência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before="40" w:lineRule="auto"/>
              <w:rPr>
                <w:rFonts w:ascii="Calibri" w:cs="Calibri" w:eastAsia="Calibri" w:hAnsi="Calibri"/>
                <w:color w:val="2d2d2d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Alucinações acriticamente aceitas;</w:t>
            </w:r>
            <w:r w:rsidDel="00000000" w:rsidR="00000000" w:rsidRPr="00000000">
              <w:rPr>
                <w:color w:val="2d2d2d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explicabilidade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Alto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RAG mandatório; badge de modelo; aviso de incerteza; proibição de geração de 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MEASURE 2.9 / MAP 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d2d2d"/>
                <w:sz w:val="20"/>
                <w:szCs w:val="20"/>
                <w:rtl w:val="0"/>
              </w:rPr>
              <w:t xml:space="preserve">Supervisão Humana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before="40" w:lineRule="auto"/>
              <w:rPr>
                <w:rFonts w:ascii="Calibri" w:cs="Calibri" w:eastAsia="Calibri" w:hAnsi="Calibri"/>
                <w:color w:val="2d2d2d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Automação indevida de decisões; Redução do controle pedagógico;</w:t>
              <w:br w:type="textWrapping"/>
              <w:t xml:space="preserve"> Falta de contestação; Baixa auditabilidade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Alto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Fluxo de validação obrigatório; marca d'água; log de supervisão auditável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MAP 3.5 / GOVERN 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d2d2d"/>
                <w:sz w:val="20"/>
                <w:szCs w:val="20"/>
                <w:rtl w:val="0"/>
              </w:rPr>
              <w:t xml:space="preserve">Privacidade e 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before="40" w:lineRule="auto"/>
              <w:rPr>
                <w:rFonts w:ascii="Calibri" w:cs="Calibri" w:eastAsia="Calibri" w:hAnsi="Calibri"/>
                <w:color w:val="2d2d2d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Exposição de dados; Retenção de gravações; Limitação do direito de exclusão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Baixo /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Ollama local; descarte de gravações; consentimento informado; mecanismo de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MEASURE 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3a5c"/>
                <w:sz w:val="20"/>
                <w:szCs w:val="20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2d2d2d"/>
                <w:sz w:val="20"/>
                <w:szCs w:val="20"/>
                <w:rtl w:val="0"/>
              </w:rPr>
              <w:t xml:space="preserve">Capacitação dos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before="40" w:lineRule="auto"/>
              <w:rPr>
                <w:rFonts w:ascii="Calibri" w:cs="Calibri" w:eastAsia="Calibri" w:hAnsi="Calibri"/>
                <w:color w:val="2d2d2d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9"/>
                <w:szCs w:val="19"/>
                <w:rtl w:val="0"/>
              </w:rPr>
              <w:t xml:space="preserve">Falta de capacitação; Dependência excessiva; Interpretação equivocada</w:t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Alto /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before="40" w:lineRule="auto"/>
              <w:jc w:val="left"/>
              <w:rPr>
                <w:color w:val="2d2d2d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d2d2d"/>
                <w:sz w:val="18"/>
                <w:szCs w:val="18"/>
                <w:rtl w:val="0"/>
              </w:rPr>
              <w:t xml:space="preserve">Tutorial obrigatório por perfil; alertas contextuais; critério de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e6da4"/>
                <w:sz w:val="18"/>
                <w:szCs w:val="18"/>
                <w:rtl w:val="0"/>
              </w:rPr>
              <w:t xml:space="preserve">GOVERN 2.2 / MAP 3.4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60" w:before="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Fonte: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Autor (2026)</w:t>
      </w:r>
    </w:p>
    <w:p w:rsidR="00000000" w:rsidDel="00000000" w:rsidP="00000000" w:rsidRDefault="00000000" w:rsidRPr="00000000" w14:paraId="000002E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before="80" w:lineRule="auto"/>
        <w:jc w:val="both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3a5c"/>
          <w:sz w:val="22"/>
          <w:szCs w:val="22"/>
          <w:rtl w:val="0"/>
        </w:rPr>
        <w:t xml:space="preserve">Risco Residual Geral: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d2d2d"/>
          <w:sz w:val="22"/>
          <w:szCs w:val="22"/>
          <w:rtl w:val="0"/>
        </w:rPr>
        <w:t xml:space="preserve">após a implementação das mitigações previstas, os riscos de maior magnitude residual são os do item T04 (alucinações — intrínsecas ao mecanismo probabilístico dos LLMs) e do item T06 (supervisão humana — dependente da disciplina operacional do orientador). Ambos exigem monitoramento contínuo e revisão periódica das medidas de mitigação ao longo do ciclo de vida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pBdr>
          <w:bottom w:color="2e6da4" w:space="0" w:sz="8" w:val="single"/>
        </w:pBdr>
        <w:spacing w:after="160" w:before="480" w:lineRule="auto"/>
        <w:rPr/>
      </w:pPr>
      <w:bookmarkStart w:colFirst="0" w:colLast="0" w:name="_heading=h.jnc42vdrqavk" w:id="3"/>
      <w:bookmarkEnd w:id="3"/>
      <w:sdt>
        <w:sdtPr>
          <w:id w:val="-1078524115"/>
          <w:tag w:val="goog_rdk_5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36"/>
          <w:szCs w:val="36"/>
          <w:rtl w:val="0"/>
        </w:rPr>
        <w:t xml:space="preserve">8. Matriz de Risco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pBdr>
          <w:bottom w:color="2e6da4" w:space="0" w:sz="8" w:val="single"/>
        </w:pBdr>
        <w:spacing w:after="16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3a5c"/>
          <w:sz w:val="36"/>
          <w:szCs w:val="36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6"/>
          <w:szCs w:val="26"/>
          <w:rtl w:val="0"/>
        </w:rPr>
        <w:t xml:space="preserve">Documentos Normativos e Regulatórios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NIST. Artificial Intelligence Risk Management Framework (AI RMF 1.0). NIST AI 100-1. Janeiro 2023. &lt;https://doi.org/10.6028/NIST.AI.100-1&gt;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BRASIL. Lei Geral de Proteção de Dados Pessoais (LGPD). Lei n.º 13.709/2018.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BRASIL. Marco Civil da Internet. Lei n.º 12.965/2014.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MEC/SEEB. Referencial para Desenvolvimento e Uso Responsáveis de IA na Educação. Brasília: MEC,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UNESCO. Recommendation on the Ethics of Artificial Intelligence. Paris: UNESCO,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UNESCO. Guidance for Generative AI in Education and Research. Paris: UNESCO,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BRASIL. Lei Geral de Proteção de Dados Pessoais (LGPD). Lei n.º 13.709/2018.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BRASIL. Marco Civil da Internet. Lei n.º 12.965/2014.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BRASIL. Lei de Diretrizes e Bases da Educação Nacional (LDB). Lei n.º 9.394/1996.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3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MEC/SEEB. Referencial para Desenvolvimento e Uso Responsáveis de IA na Educação. Brasília: MEC,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NEES/MEC. Sandbox Regulatório MEC — Edital 1/2026.</w:t>
      </w:r>
    </w:p>
    <w:p w:rsidR="00000000" w:rsidDel="00000000" w:rsidP="00000000" w:rsidRDefault="00000000" w:rsidRPr="00000000" w14:paraId="000003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6da4"/>
          <w:sz w:val="26"/>
          <w:szCs w:val="26"/>
          <w:rtl w:val="0"/>
        </w:rPr>
        <w:t xml:space="preserve">Referências Acadêmicas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GARIBAY, Ivan et al. Six Human-Centered Artificial Intelligence Grand Challenges. International Journal of Human-Computer Interaction,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SHNEIDERMAN, Ben. Human-Centered AI. Oxford: Oxford University Press,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NORMAN, Donald A. The Design of Everyday Things. Edição revisada. New York: Basic Books,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color w:val="2d2d2d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XU, Wendy. Toward Human-Centered AI: A Perspective from Human-Computer Interaction. Interactions, ACM, maio-junho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GAVER, William W. Technology Affordances. In: CHI '91 Proceedings. ACM, 1991.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GIBSON, James J. The Ecological Approach to Visual Perception. Boston: Houghton Mifflin, 1979.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SHNEIDERMAN, Ben. Human-Centered AI. Oxford: Oxford University Press,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spacing w:after="60" w:before="6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libri" w:cs="Calibri" w:eastAsia="Calibri" w:hAnsi="Calibri"/>
          <w:color w:val="2d2d2d"/>
          <w:sz w:val="22"/>
          <w:szCs w:val="22"/>
          <w:rtl w:val="0"/>
        </w:rPr>
        <w:t xml:space="preserve">VASWANI, Ashish et al. Attention Is All You Need. NeurIPS,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before="60" w:lineRule="auto"/>
        <w:ind w:left="0" w:firstLine="0"/>
        <w:rPr>
          <w:rFonts w:ascii="Calibri" w:cs="Calibri" w:eastAsia="Calibri" w:hAnsi="Calibri"/>
          <w:color w:val="2d2d2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lita Moraes Ferreira" w:id="0" w:date="2026-10-02T20:32:54Z"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3 - Fazer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1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pBdr>
        <w:bottom w:color="b0bec5" w:space="0" w:sz="4" w:val="single"/>
      </w:pBdr>
      <w:spacing w:after="80" w:before="0" w:lineRule="auto"/>
      <w:jc w:val="righ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2e6da4"/>
        <w:sz w:val="18"/>
        <w:szCs w:val="18"/>
        <w:rtl w:val="0"/>
      </w:rPr>
      <w:t xml:space="preserve">OrientAI — Checklist Transversal de Riscos  |  v</w:t>
    </w:r>
    <w:r w:rsidDel="00000000" w:rsidR="00000000" w:rsidRPr="00000000">
      <w:rPr>
        <w:rFonts w:ascii="Calibri" w:cs="Calibri" w:eastAsia="Calibri" w:hAnsi="Calibri"/>
        <w:i w:val="1"/>
        <w:iCs w:val="1"/>
        <w:color w:val="2e6da4"/>
        <w:sz w:val="18"/>
        <w:szCs w:val="18"/>
        <w:rtl w:val="0"/>
      </w:rPr>
      <w:t xml:space="preserve">3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2e6da4"/>
        <w:sz w:val="18"/>
        <w:szCs w:val="18"/>
        <w:rtl w:val="0"/>
      </w:rPr>
      <w:t xml:space="preserve">.0  |  HCAI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EC6H3rUIoRvrZvdoKmRSh2Rzg==">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2026-09-14T13:38:49.539Z</dcterms:created>
  <dc:creator>HCAI — Disciplina de Pós-Graduação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