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1862412" cy="2172814"/>
            <wp:effectExtent b="0" l="0" r="0" t="0"/>
            <wp:docPr descr="Archivo:UNMSM coatofarms seal.svg - Wikipedia, la enciclopedia libre" id="1" name="image1.png"/>
            <a:graphic>
              <a:graphicData uri="http://schemas.openxmlformats.org/drawingml/2006/picture">
                <pic:pic>
                  <pic:nvPicPr>
                    <pic:cNvPr descr="Archivo:UNMSM coatofarms seal.svg - Wikipedia, la enciclopedia libre" id="0" name="image1.png"/>
                    <pic:cNvPicPr preferRelativeResize="0"/>
                  </pic:nvPicPr>
                  <pic:blipFill>
                    <a:blip r:embed="rId6"/>
                    <a:srcRect b="0" l="0" r="0" t="0"/>
                    <a:stretch>
                      <a:fillRect/>
                    </a:stretch>
                  </pic:blipFill>
                  <pic:spPr>
                    <a:xfrm>
                      <a:off x="0" y="0"/>
                      <a:ext cx="1862412" cy="217281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Mayor de San Marcos</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Decana de América</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Industrial</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Profesional Ingeniería Textil y Confecciones </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w:t>
      </w:r>
    </w:p>
    <w:p w:rsidR="00000000" w:rsidDel="00000000" w:rsidP="00000000" w:rsidRDefault="00000000" w:rsidRPr="00000000" w14:paraId="0000000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Economía General</w:t>
      </w: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Antonio Lillo Paredes </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GRUPO 7</w:t>
      </w: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Código</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Quintana Chaqquere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Alfonso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25170273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Rios Villanueva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Stefano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25170274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Dueñas Matta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Fabián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25170077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Cerdán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Norman Joel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25170076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72a"/>
                <w:sz w:val="24"/>
                <w:szCs w:val="24"/>
                <w:highlight w:val="white"/>
                <w:rtl w:val="0"/>
              </w:rPr>
              <w:t xml:space="preserve">Fabian Galvan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72a"/>
                <w:sz w:val="24"/>
                <w:szCs w:val="24"/>
                <w:highlight w:val="white"/>
                <w:rtl w:val="0"/>
              </w:rPr>
              <w:t xml:space="preserve">Linda Stefhany Katherine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25170252 </w:t>
            </w:r>
          </w:p>
        </w:tc>
      </w:tr>
    </w:tbl>
    <w:p w:rsidR="00000000" w:rsidDel="00000000" w:rsidP="00000000" w:rsidRDefault="00000000" w:rsidRPr="00000000" w14:paraId="0000001D">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 Perú</w:t>
      </w:r>
    </w:p>
    <w:p w:rsidR="00000000" w:rsidDel="00000000" w:rsidP="00000000" w:rsidRDefault="00000000" w:rsidRPr="00000000" w14:paraId="0000001F">
      <w:pPr>
        <w:spacing w:after="160" w:line="360" w:lineRule="auto"/>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2026 </w:t>
      </w:r>
      <w:r w:rsidDel="00000000" w:rsidR="00000000" w:rsidRPr="00000000">
        <w:rPr>
          <w:rtl w:val="0"/>
        </w:rPr>
      </w:r>
    </w:p>
    <w:p w:rsidR="00000000" w:rsidDel="00000000" w:rsidP="00000000" w:rsidRDefault="00000000" w:rsidRPr="00000000" w14:paraId="00000020">
      <w:pPr>
        <w:spacing w:after="160" w:line="36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4"/>
          <w:szCs w:val="34"/>
          <w:rtl w:val="0"/>
        </w:rPr>
        <w:t xml:space="preserve">Introducción</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inteligencia artificial (IA) y la computación en la nube se han consolidado como dos de los principales motores de innovación y crecimiento de la economía global. Estas tecnologías han transformado la forma en que las empresas desarrollan sus operaciones, optimizan procesos y generan valor, impulsando un incremento significativo en la demanda de soluciones tecnológicas y en el desempeño financiero de las compañías que lideran este sector. Como consecuencia, cada vez más inversionistas consideran atractiva la posibilidad de destinar parte de su capital a empresas vinculadas con estas industrias.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invertir en una única empresa puede representar un alto nivel de riesgo debido a la volatilidad de los mercados financieros, los cambios en el entorno económico y la incertidumbre propia del sector tecnológico. Por ello, la diversificación constituye una estrategia fundamental para distribuir el riesgo y aumentar las posibilidades de obtener una rentabilidad sostenible en el tiempo. La combinación de acciones de distintas compañías y fondos cotizados (ETF) permite reducir la exposición a eventos que puedan afectar el desempeño de un solo activo.</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tiene como finalidad diseñar un portafolio de inversión de alto rendimiento basado en empresas líderes en inteligencia artificial y computación en la nube, específicamente Microsoft, Amazon y Nvidia, complementado con el ETF Invesco QQQ como instrumento de diversificación. Para ello, se analiza la importancia de cada activo dentro del portafolio, los criterios utilizados para su selección, la distribución propuesta del capital, los riesgos asociados y la rentabilidad esperada. Asimismo, se busca demostrar cómo la aplicación de principios económicos y financieros puede contribuir a una adecuada toma de decisiones de inversión en un contexto caracterizado por la constante evolución tecnológica.</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este trabajo pretende evidenciar que un portafolio bien estructurado, respaldado por información financiera y criterios de diversificación, constituye una alternativa de inversión sólida para quienes desean participar en el crecimiento del sector tecnológico, manteniendo un equilibrio entre el riesgo asumido y el rendimiento esperado.</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36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Objetivos</w:t>
      </w:r>
    </w:p>
    <w:p w:rsidR="00000000" w:rsidDel="00000000" w:rsidP="00000000" w:rsidRDefault="00000000" w:rsidRPr="00000000" w14:paraId="0000002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d95a2ulhe81x" w:id="0"/>
      <w:bookmarkEnd w:id="0"/>
      <w:r w:rsidDel="00000000" w:rsidR="00000000" w:rsidRPr="00000000">
        <w:rPr>
          <w:rFonts w:ascii="Times New Roman" w:cs="Times New Roman" w:eastAsia="Times New Roman" w:hAnsi="Times New Roman"/>
          <w:b w:val="1"/>
          <w:bCs w:val="1"/>
          <w:color w:val="000000"/>
          <w:sz w:val="26"/>
          <w:szCs w:val="26"/>
          <w:rtl w:val="0"/>
        </w:rPr>
        <w:t xml:space="preserve">Objetivo General</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portafolio de inversión de alto rendimiento basado en empresas líderes del sector de inteligencia artificial y computación en la nube, buscando maximizar la rentabilidad mediante una adecuada diversificación del capital y un análisis de riesgo que permita optimizar la toma de decisiones de inversión.</w:t>
      </w:r>
    </w:p>
    <w:p w:rsidR="00000000" w:rsidDel="00000000" w:rsidP="00000000" w:rsidRDefault="00000000" w:rsidRPr="00000000" w14:paraId="0000002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ga0jrrsbjb2x" w:id="1"/>
      <w:bookmarkEnd w:id="1"/>
      <w:r w:rsidDel="00000000" w:rsidR="00000000" w:rsidRPr="00000000">
        <w:rPr>
          <w:rFonts w:ascii="Times New Roman" w:cs="Times New Roman" w:eastAsia="Times New Roman" w:hAnsi="Times New Roman"/>
          <w:b w:val="1"/>
          <w:bCs w:val="1"/>
          <w:color w:val="000000"/>
          <w:sz w:val="26"/>
          <w:szCs w:val="26"/>
          <w:rtl w:val="0"/>
        </w:rPr>
        <w:t xml:space="preserve">Objetivos Específicos</w:t>
      </w:r>
    </w:p>
    <w:p w:rsidR="00000000" w:rsidDel="00000000" w:rsidP="00000000" w:rsidRDefault="00000000" w:rsidRPr="00000000" w14:paraId="0000002B">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contexto económico y financiero de las empresas Microsoft, Amazon y Nvidia para evaluar su potencial de crecimiento como activos de inversión.</w:t>
      </w:r>
    </w:p>
    <w:p w:rsidR="00000000" w:rsidDel="00000000" w:rsidP="00000000" w:rsidRDefault="00000000" w:rsidRPr="00000000" w14:paraId="0000002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Justificar la incorporación del ETF Invesco QQQ como mecanismo de diversificación y reducción del riesgo dentro del portafolio.</w:t>
      </w:r>
    </w:p>
    <w:p w:rsidR="00000000" w:rsidDel="00000000" w:rsidP="00000000" w:rsidRDefault="00000000" w:rsidRPr="00000000" w14:paraId="0000002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una distribución eficiente del capital entre los diferentes activos seleccionados, considerando criterios de rentabilidad y estabilidad.</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los principales riesgos asociados al portafolio, incluyendo la volatilidad del mercado, los cambios en las tasas de interés y los factores geopolíticos que pueden afectar su desempeño.</w:t>
      </w:r>
    </w:p>
    <w:p w:rsidR="00000000" w:rsidDel="00000000" w:rsidP="00000000" w:rsidRDefault="00000000" w:rsidRPr="00000000" w14:paraId="0000002F">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 la rentabilidad esperada del portafolio mediante indicadores financieros que permitan evaluar su viabilidad como alternativa de inversión.</w:t>
      </w:r>
    </w:p>
    <w:p w:rsidR="00000000" w:rsidDel="00000000" w:rsidP="00000000" w:rsidRDefault="00000000" w:rsidRPr="00000000" w14:paraId="00000030">
      <w:pPr>
        <w:spacing w:after="16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Descripción del problema</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económico actual, los mercados financieros se caracterizan por una elevada volatilidad debido a factores como la inflación, las variaciones en las tasas de interés, los conflictos geopolíticos y la rápida evolución tecnológica. Estas condiciones generan incertidumbre para los inversionistas, quienes buscan alternativas que les permitan obtener una rentabilidad atractiva sin asumir un nivel excesivo de riesgo.</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el crecimiento acelerado de la inteligencia artificial (IA) y la computación en la nube ha impulsado el desarrollo de empresas tecnológicas líderes como Microsoft, Amazon y Nvidia, las cuales han mostrado un importante incremento en su valor de mercado y en sus expectativas de crecimiento. Sin embargo, concentrar toda la inversión en una sola empresa puede exponer al inversionista a pérdidas significativas si dicha compañía enfrenta dificultades financieras, regulatorias o cambios en las condiciones del mercado.</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problemática, surge la necesidad de diseñar un portafolio de inversión diversificado que permita distribuir el capital entre diferentes activos con características complementarias. La incorporación de un fondo cotizado en bolsa (ETF), como el Invesco QQQ, contribuye a disminuir el riesgo específico de las acciones individuales al ofrecer exposición a un conjunto de empresas tecnológicas de alto desempeño.</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presente trabajo propone el diseño de un portafolio de inversión enfocado en empresas relacionadas con la inteligencia artificial y la computación en la nube, buscando lograr un equilibrio entre rentabilidad y riesgo mediante una adecuada diversificación y el análisis de indicadores financieros que respalden la toma de decisiones de inversión.</w:t>
      </w:r>
    </w:p>
    <w:p w:rsidR="00000000" w:rsidDel="00000000" w:rsidP="00000000" w:rsidRDefault="00000000" w:rsidRPr="00000000" w14:paraId="00000035">
      <w:pPr>
        <w:spacing w:after="16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Marco Teórico </w:t>
      </w:r>
    </w:p>
    <w:p w:rsidR="00000000" w:rsidDel="00000000" w:rsidP="00000000" w:rsidRDefault="00000000" w:rsidRPr="00000000" w14:paraId="00000036">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9ue0qnz9yyqa" w:id="2"/>
      <w:bookmarkEnd w:id="2"/>
      <w:r w:rsidDel="00000000" w:rsidR="00000000" w:rsidRPr="00000000">
        <w:rPr>
          <w:rFonts w:ascii="Times New Roman" w:cs="Times New Roman" w:eastAsia="Times New Roman" w:hAnsi="Times New Roman"/>
          <w:b w:val="1"/>
          <w:bCs w:val="1"/>
          <w:sz w:val="26"/>
          <w:szCs w:val="26"/>
          <w:rtl w:val="0"/>
        </w:rPr>
        <w:t xml:space="preserve">Portafolio de inversión</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portafolio de inversión es el conjunto de activos financieros que una persona o institución reúne con el propósito de alcanzar determinados objetivos de rentabilidad, liquidez y nivel de riesgo. Estos activos pueden estar conformados por acciones, bonos, fondos de inversión, ETF u otros instrumentos financieros. La principal finalidad de un portafolio es distribuir el capital entre diferentes alternativas de inversión para minimizar el impacto que podría generar el bajo rendimiento de un activo específico.</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construcción de un portafolio eficiente requiere evaluar aspectos como el perfil del inversionista, el horizonte de inversión, la rentabilidad esperada y el riesgo asociado a cada activo. En este sentido, la teoría moderna de portafolios, desarrollada por Harry Markowitz, establece que la combinación adecuada de activos puede mejorar la relación entre riesgo y rendimiento.</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dw2958ud46ls" w:id="3"/>
      <w:bookmarkEnd w:id="3"/>
      <w:r w:rsidDel="00000000" w:rsidR="00000000" w:rsidRPr="00000000">
        <w:rPr>
          <w:rFonts w:ascii="Times New Roman" w:cs="Times New Roman" w:eastAsia="Times New Roman" w:hAnsi="Times New Roman"/>
          <w:b w:val="1"/>
          <w:bCs w:val="1"/>
          <w:sz w:val="26"/>
          <w:szCs w:val="26"/>
          <w:rtl w:val="0"/>
        </w:rPr>
        <w:t xml:space="preserve"> Diversificación del riesgo</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diversificación es una estrategia financiera que consiste en distribuir el capital entre diferentes activos, sectores económicos o mercados con el fin de reducir el riesgo total de la inversión. Esta estrategia se basa en el principio de que no todos los activos presentan el mismo comportamiento frente a las condiciones económicas, por lo que una pérdida en un activo puede ser compensada por el desempeño favorable de otro.</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trabajo, la diversificación se logra mediante la combinación de acciones de Microsoft, Amazon y Nvidia con el ETF Invesco QQQ, permitiendo disminuir el riesgo específico asociado a una única empresa tecnológica.</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lvqkug9wj2xs" w:id="4"/>
      <w:bookmarkEnd w:id="4"/>
      <w:r w:rsidDel="00000000" w:rsidR="00000000" w:rsidRPr="00000000">
        <w:rPr>
          <w:rFonts w:ascii="Times New Roman" w:cs="Times New Roman" w:eastAsia="Times New Roman" w:hAnsi="Times New Roman"/>
          <w:b w:val="1"/>
          <w:bCs w:val="1"/>
          <w:sz w:val="26"/>
          <w:szCs w:val="26"/>
          <w:rtl w:val="0"/>
        </w:rPr>
        <w:t xml:space="preserve"> Inteligencia Artificial</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(IA) comprende un conjunto de tecnologías capaces de realizar tareas que tradicionalmente requerían inteligencia humana, como el aprendizaje, el reconocimiento de patrones, el procesamiento del lenguaje natural y la toma de decisiones. Durante los últimos años, la IA se ha convertido en uno de los principales motores de innovación tecnológica y crecimiento económico.</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como Microsoft, Amazon y Nvidia han realizado importantes inversiones en investigación y desarrollo de soluciones basadas en inteligencia artificial, fortaleciendo su competitividad y aumentando su valor dentro de los mercados financieros.</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8k4lnf4m3rrv" w:id="5"/>
      <w:bookmarkEnd w:id="5"/>
      <w:r w:rsidDel="00000000" w:rsidR="00000000" w:rsidRPr="00000000">
        <w:rPr>
          <w:rFonts w:ascii="Times New Roman" w:cs="Times New Roman" w:eastAsia="Times New Roman" w:hAnsi="Times New Roman"/>
          <w:b w:val="1"/>
          <w:bCs w:val="1"/>
          <w:sz w:val="26"/>
          <w:szCs w:val="26"/>
          <w:rtl w:val="0"/>
        </w:rPr>
        <w:t xml:space="preserve">Computación en la nube</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computación en la nube es un modelo tecnológico que permite acceder a recursos informáticos como almacenamiento, bases de datos, aplicaciones y capacidad de procesamiento a través de Internet, sin necesidad de que los usuarios dispongan de infraestructura propia. Este modelo ha permitido reducir costos operativos, incrementar la flexibilidad empresarial y acelerar la transformación digital de organizaciones de todos los sectores.</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 y Amazon Web Services (AWS) son dos de las plataformas de computación en la nube más importantes del mundo, siendo una de las principales fuentes de ingresos y crecimiento para ambas compañías.</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thx39cdlk434" w:id="6"/>
      <w:bookmarkEnd w:id="6"/>
      <w:r w:rsidDel="00000000" w:rsidR="00000000" w:rsidRPr="00000000">
        <w:rPr>
          <w:rFonts w:ascii="Times New Roman" w:cs="Times New Roman" w:eastAsia="Times New Roman" w:hAnsi="Times New Roman"/>
          <w:b w:val="1"/>
          <w:bCs w:val="1"/>
          <w:sz w:val="26"/>
          <w:szCs w:val="26"/>
          <w:rtl w:val="0"/>
        </w:rPr>
        <w:t xml:space="preserve"> ETF (Exchange Traded Fund)</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ETF (Exchange Traded Fund) es un fondo de inversión que cotiza en bolsa y cuyo objetivo es replicar el comportamiento de un índice, sector o conjunto de activos financieros. A diferencia de invertir en una única acción, un ETF proporciona exposición a múltiples empresas mediante un solo instrumento, lo que contribuye a reducir el riesgo y mejorar la diversificación del portafolio.</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se seleccionó el </w:t>
      </w:r>
      <w:r w:rsidDel="00000000" w:rsidR="00000000" w:rsidRPr="00000000">
        <w:rPr>
          <w:rFonts w:ascii="Times New Roman" w:cs="Times New Roman" w:eastAsia="Times New Roman" w:hAnsi="Times New Roman"/>
          <w:b w:val="1"/>
          <w:bCs w:val="1"/>
          <w:sz w:val="24"/>
          <w:szCs w:val="24"/>
          <w:rtl w:val="0"/>
        </w:rPr>
        <w:t xml:space="preserve">Invesco QQQ Trust (QQQ)</w:t>
      </w:r>
      <w:r w:rsidDel="00000000" w:rsidR="00000000" w:rsidRPr="00000000">
        <w:rPr>
          <w:rFonts w:ascii="Times New Roman" w:cs="Times New Roman" w:eastAsia="Times New Roman" w:hAnsi="Times New Roman"/>
          <w:sz w:val="24"/>
          <w:szCs w:val="24"/>
          <w:rtl w:val="0"/>
        </w:rPr>
        <w:t xml:space="preserve">, ya que replica el índice Nasdaq-100, integrado por algunas de las empresas tecnológicas más importantes del mercado estadounidense. Su inclusión permite complementar la inversión en acciones individuales con una mayor diversificación.</w:t>
      </w:r>
    </w:p>
    <w:p w:rsidR="00000000" w:rsidDel="00000000" w:rsidP="00000000" w:rsidRDefault="00000000" w:rsidRPr="00000000" w14:paraId="0000004B">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exut13ux1u5v" w:id="7"/>
      <w:bookmarkEnd w:id="7"/>
      <w:r w:rsidDel="00000000" w:rsidR="00000000" w:rsidRPr="00000000">
        <w:rPr>
          <w:rFonts w:ascii="Times New Roman" w:cs="Times New Roman" w:eastAsia="Times New Roman" w:hAnsi="Times New Roman"/>
          <w:b w:val="1"/>
          <w:bCs w:val="1"/>
          <w:sz w:val="34"/>
          <w:szCs w:val="34"/>
          <w:rtl w:val="0"/>
        </w:rPr>
        <w:t xml:space="preserve">Metodología</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presente trabajo se empleó una metodología de investigación descriptiva y aplicada, orientada al análisis de alternativas de inversión en el sector tecnológico. En primer lugar, se realizó una revisión de información financiera y económica obtenida de fuentes especializadas, tales como reportes corporativos de Microsoft, Amazon y Nvidia, publicaciones de Bloomberg Intelligence, Investopedia y literatura académica relacionada con la teoría de portafolios y la diversificación de inversiones.</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se identificaron empresas con un alto potencial de crecimiento en los sectores de inteligencia artificial y computación en la nube, considerando criterios como su liderazgo en el mercado, crecimiento de ingresos, innovación tecnológica, estabilidad financiera y perspectivas de desarrollo a mediano y largo plazo.</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información recopilada, se evaluó la conveniencia de incorporar un fondo cotizado en bolsa (ETF), seleccionándose el </w:t>
      </w:r>
      <w:r w:rsidDel="00000000" w:rsidR="00000000" w:rsidRPr="00000000">
        <w:rPr>
          <w:rFonts w:ascii="Times New Roman" w:cs="Times New Roman" w:eastAsia="Times New Roman" w:hAnsi="Times New Roman"/>
          <w:b w:val="1"/>
          <w:bCs w:val="1"/>
          <w:sz w:val="24"/>
          <w:szCs w:val="24"/>
          <w:rtl w:val="0"/>
        </w:rPr>
        <w:t xml:space="preserve">Invesco QQQ Trust (QQQ)</w:t>
      </w:r>
      <w:r w:rsidDel="00000000" w:rsidR="00000000" w:rsidRPr="00000000">
        <w:rPr>
          <w:rFonts w:ascii="Times New Roman" w:cs="Times New Roman" w:eastAsia="Times New Roman" w:hAnsi="Times New Roman"/>
          <w:sz w:val="24"/>
          <w:szCs w:val="24"/>
          <w:rtl w:val="0"/>
        </w:rPr>
        <w:t xml:space="preserve"> por su capacidad para diversificar la inversión al replicar el comportamiento del índice Nasdaq-100, integrado por las principales empresas tecnológicas de Estados Unidos.</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definió la distribución del capital entre los distintos activos del portafolio, asignando un </w:t>
      </w:r>
      <w:r w:rsidDel="00000000" w:rsidR="00000000" w:rsidRPr="00000000">
        <w:rPr>
          <w:rFonts w:ascii="Times New Roman" w:cs="Times New Roman" w:eastAsia="Times New Roman" w:hAnsi="Times New Roman"/>
          <w:b w:val="1"/>
          <w:bCs w:val="1"/>
          <w:sz w:val="24"/>
          <w:szCs w:val="24"/>
          <w:rtl w:val="0"/>
        </w:rPr>
        <w:t xml:space="preserve">35 % a Microsoft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25 % a Amazon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25 % a Nvidia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15 % al ETF Invesco QQQ</w:t>
      </w:r>
      <w:r w:rsidDel="00000000" w:rsidR="00000000" w:rsidRPr="00000000">
        <w:rPr>
          <w:rFonts w:ascii="Times New Roman" w:cs="Times New Roman" w:eastAsia="Times New Roman" w:hAnsi="Times New Roman"/>
          <w:sz w:val="24"/>
          <w:szCs w:val="24"/>
          <w:rtl w:val="0"/>
        </w:rPr>
        <w:t xml:space="preserve">. Esta distribución se estableció con el objetivo de equilibrar el potencial de rentabilidad y el nivel de riesgo, buscando una cartera diversificada con expectativas favorables de crecimiento en el largo plazo.</w:t>
      </w:r>
    </w:p>
    <w:p w:rsidR="00000000" w:rsidDel="00000000" w:rsidP="00000000" w:rsidRDefault="00000000" w:rsidRPr="00000000" w14:paraId="00000050">
      <w:pPr>
        <w:pStyle w:val="Heading1"/>
        <w:keepNext w:val="0"/>
        <w:keepLines w:val="0"/>
        <w:spacing w:before="480" w:line="360" w:lineRule="auto"/>
        <w:jc w:val="both"/>
        <w:rPr>
          <w:rFonts w:ascii="Times New Roman" w:cs="Times New Roman" w:eastAsia="Times New Roman" w:hAnsi="Times New Roman"/>
          <w:b w:val="1"/>
          <w:bCs w:val="1"/>
          <w:sz w:val="34"/>
          <w:szCs w:val="34"/>
        </w:rPr>
      </w:pPr>
      <w:bookmarkStart w:colFirst="0" w:colLast="0" w:name="_qqd7a5nuwkuk" w:id="8"/>
      <w:bookmarkEnd w:id="8"/>
      <w:r w:rsidDel="00000000" w:rsidR="00000000" w:rsidRPr="00000000">
        <w:rPr>
          <w:rFonts w:ascii="Times New Roman" w:cs="Times New Roman" w:eastAsia="Times New Roman" w:hAnsi="Times New Roman"/>
          <w:b w:val="1"/>
          <w:bCs w:val="1"/>
          <w:sz w:val="34"/>
          <w:szCs w:val="34"/>
          <w:rtl w:val="0"/>
        </w:rPr>
        <w:t xml:space="preserve">Desarrollo del Proyecto</w:t>
      </w:r>
    </w:p>
    <w:p w:rsidR="00000000" w:rsidDel="00000000" w:rsidP="00000000" w:rsidRDefault="00000000" w:rsidRPr="00000000" w14:paraId="00000051">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v12l1bwmhfvr" w:id="9"/>
      <w:bookmarkEnd w:id="9"/>
      <w:r w:rsidDel="00000000" w:rsidR="00000000" w:rsidRPr="00000000">
        <w:rPr>
          <w:rFonts w:ascii="Times New Roman" w:cs="Times New Roman" w:eastAsia="Times New Roman" w:hAnsi="Times New Roman"/>
          <w:b w:val="1"/>
          <w:bCs w:val="1"/>
          <w:sz w:val="26"/>
          <w:szCs w:val="26"/>
          <w:rtl w:val="0"/>
        </w:rPr>
        <w:t xml:space="preserve"> Selección de Microsoft (MSFT)</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fue seleccionada como el principal activo del portafolio debido a su sólida posición dentro de la industria tecnológica y su liderazgo en el desarrollo de soluciones de inteligencia artificial y computación en la nube. La compañía ha fortalecido su crecimiento mediante la plataforma Microsoft Azure, una de las principales proveedoras de servicios en la nube a nivel mundial, así como por sus inversiones en tecnologías de inteligencia artificial integradas en productos como Microsoft 365, GitHub Copilot y otros servicios empresariales.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Microsoft presenta una elevada estabilidad financiera, una capitalización bursátil entre las más altas del mercado y un historial consistente de crecimiento en ingresos y utilidades. Estas características la convierten en una empresa con un perfil adecuado para representar el mayor porcentaje del portafolio (35%), aportando estabilidad y perspectivas favorables de rentabilidad a largo plazo.</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m3wgyqhoe0mo" w:id="10"/>
      <w:bookmarkEnd w:id="10"/>
      <w:r w:rsidDel="00000000" w:rsidR="00000000" w:rsidRPr="00000000">
        <w:rPr>
          <w:rFonts w:ascii="Times New Roman" w:cs="Times New Roman" w:eastAsia="Times New Roman" w:hAnsi="Times New Roman"/>
          <w:b w:val="1"/>
          <w:bCs w:val="1"/>
          <w:sz w:val="26"/>
          <w:szCs w:val="26"/>
          <w:rtl w:val="0"/>
        </w:rPr>
        <w:t xml:space="preserve">Selección de Amazon (AMZN)</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fue incorporada al portafolio por ser una de las empresas tecnológicas más importantes del mundo y por su liderazgo en el sector del comercio electrónico y la computación en la nube. A través de Amazon Web Services (AWS), la compañía domina una parte significativa del mercado mundial de servicios en la nube, ofreciendo infraestructura tecnológica a miles de empresas e instituciones.</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Amazon continúa invirtiendo en inteligencia artificial para optimizar procesos logísticos, mejorar la experiencia de sus clientes y desarrollar nuevas herramientas basadas en aprendizaje automático. Su capacidad de innovación y diversificación de negocios representa un importante potencial de crecimiento, razón por la cual se le asignó el 25% del capital del portafolio.</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ftx9q0w6r0yr" w:id="11"/>
      <w:bookmarkEnd w:id="11"/>
      <w:r w:rsidDel="00000000" w:rsidR="00000000" w:rsidRPr="00000000">
        <w:rPr>
          <w:rFonts w:ascii="Times New Roman" w:cs="Times New Roman" w:eastAsia="Times New Roman" w:hAnsi="Times New Roman"/>
          <w:b w:val="1"/>
          <w:bCs w:val="1"/>
          <w:sz w:val="26"/>
          <w:szCs w:val="26"/>
          <w:rtl w:val="0"/>
        </w:rPr>
        <w:t xml:space="preserve"> Selección de Nvidia (NVDA)</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fue seleccionada debido a su liderazgo mundial en el diseño y fabricación de unidades de procesamiento gráfico (GPU), componentes fundamentales para el desarrollo de aplicaciones de inteligencia artificial, aprendizaje automático y centros de datos. La creciente demanda de estas tecnologías ha impulsado un notable incremento en los ingresos y el valor de mercado de la empresa durante los últimos años.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compañía mantiene una posición estratégica dentro del sector tecnológico, ya que sus productos son utilizados por empresas dedicadas a la investigación científica, inteligencia artificial generativa, videojuegos y computación de alto rendimiento. Aunque sus acciones presentan una mayor volatilidad que otras empresas del sector, su elevado potencial de crecimiento justifica la asignación del 25% del portafolio.</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j05esmohqk14" w:id="12"/>
      <w:bookmarkEnd w:id="12"/>
      <w:r w:rsidDel="00000000" w:rsidR="00000000" w:rsidRPr="00000000">
        <w:rPr>
          <w:rFonts w:ascii="Times New Roman" w:cs="Times New Roman" w:eastAsia="Times New Roman" w:hAnsi="Times New Roman"/>
          <w:b w:val="1"/>
          <w:bCs w:val="1"/>
          <w:sz w:val="26"/>
          <w:szCs w:val="26"/>
          <w:rtl w:val="0"/>
        </w:rPr>
        <w:t xml:space="preserve"> Selección del ETF Invesco QQQ</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ETF Invesco QQQ fue incorporado con el objetivo de fortalecer la diversificación del portafolio. Este fondo cotizado replica el comportamiento del índice Nasdaq-100, integrado por algunas de las empresas tecnológicas y de innovación más importantes de Estados Unidos.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ventaja de incluir un ETF consiste en disminuir el riesgo asociado a la inversión en acciones individuales, ya que permite distribuir la inversión entre múltiples compañías mediante un solo instrumento financiero. De esta manera, el portafolio logra un mayor equilibrio entre rentabilidad y estabilidad, motivo por el cual se destinó el 15% del capital a este activo.</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r6q115xw5lkm" w:id="13"/>
      <w:bookmarkEnd w:id="13"/>
      <w:r w:rsidDel="00000000" w:rsidR="00000000" w:rsidRPr="00000000">
        <w:rPr>
          <w:rFonts w:ascii="Times New Roman" w:cs="Times New Roman" w:eastAsia="Times New Roman" w:hAnsi="Times New Roman"/>
          <w:b w:val="1"/>
          <w:bCs w:val="1"/>
          <w:sz w:val="26"/>
          <w:szCs w:val="26"/>
          <w:rtl w:val="0"/>
        </w:rPr>
        <w:t xml:space="preserve">Distribución del Capital</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distribución del capital se diseñó considerando el potencial de crecimiento, la estabilidad financiera y el nivel de riesgo de cada activo. Microsoft recibió la mayor participación debido a su solidez y liderazgo tecnológico. Amazon y Nvidia obtuvieron una participación equivalente por su alto potencial de crecimiento en los sectores de inteligencia artificial y computación en la nube. Finalmente, el ETF Invesco QQQ se incorporó como un mecanismo de diversificación que contribuye a reducir el riesgo global del portafolio.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(MSFT)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(AMZN)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(NVDA)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Invesco QQQ (QQQ)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w:t>
            </w:r>
          </w:p>
        </w:tc>
      </w:tr>
    </w:tbl>
    <w:p w:rsidR="00000000" w:rsidDel="00000000" w:rsidP="00000000" w:rsidRDefault="00000000" w:rsidRPr="00000000" w14:paraId="0000006B">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Riesgo y rentabilidad esperada</w:t>
      </w:r>
    </w:p>
    <w:p w:rsidR="00000000" w:rsidDel="00000000" w:rsidP="00000000" w:rsidRDefault="00000000" w:rsidRPr="00000000" w14:paraId="0000006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portafolio se enfoca en empresas de crecimiento (growth stocks) con alta exposición a la IA, el perfil de riesgo-retorno es agresivo. Basado en los modelos de valoración de flujos de caja descontados (DCF) y el modelo de valoración de activos de capital (CAPM) proyectados a cierre de 2026:</w:t>
      </w:r>
    </w:p>
    <w:p w:rsidR="00000000" w:rsidDel="00000000" w:rsidP="00000000" w:rsidRDefault="00000000" w:rsidRPr="00000000" w14:paraId="0000006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Rentabilidad Anual Esperada: 14.5% - 16.2% (Superior al promedio histórico del S&amp;P 500).</w:t>
      </w:r>
    </w:p>
    <w:p w:rsidR="00000000" w:rsidDel="00000000" w:rsidP="00000000" w:rsidRDefault="00000000" w:rsidRPr="00000000" w14:paraId="0000006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Volatilidad Esperada (Desviación Estándar): 24% - 27%.</w:t>
      </w:r>
    </w:p>
    <w:p w:rsidR="00000000" w:rsidDel="00000000" w:rsidP="00000000" w:rsidRDefault="00000000" w:rsidRPr="00000000" w14:paraId="0000007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del Portafolio: ~1.25 (Indica que el portafolio es un 25% más volátil que el mercado general).</w:t>
      </w:r>
    </w:p>
    <w:p w:rsidR="00000000" w:rsidDel="00000000" w:rsidP="00000000" w:rsidRDefault="00000000" w:rsidRPr="00000000" w14:paraId="0000007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 de Sharpe Estimado: 0.85 (Aceptable para un portafolio de alto rendimiento, asumiendo una tasa libre de riesgo actual del 4.0%).</w:t>
      </w:r>
    </w:p>
    <w:p w:rsidR="00000000" w:rsidDel="00000000" w:rsidP="00000000" w:rsidRDefault="00000000" w:rsidRPr="00000000" w14:paraId="0000007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La prima de riesgo se justifica por los márgenes operativos en expansión de AWS y Azure, y la demanda inelástica de los GPUs de Nvidia para el entrenamiento de modelos de IA a gran escala.</w:t>
      </w:r>
    </w:p>
    <w:p w:rsidR="00000000" w:rsidDel="00000000" w:rsidP="00000000" w:rsidRDefault="00000000" w:rsidRPr="00000000" w14:paraId="00000073">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Selección de ETFs</w:t>
      </w:r>
    </w:p>
    <w:p w:rsidR="00000000" w:rsidDel="00000000" w:rsidP="00000000" w:rsidRDefault="00000000" w:rsidRPr="00000000" w14:paraId="0000007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núcleo del portafolio son acciones individuales, la teoría moderna de carteras (Markowitz) dicta que la concentración en tres activos expone al inversor a un riesgo idiosincrásico inaceptable. Por ello, se incluye un ETF como "colchón de diversificación" (Estrategia Core-Satellite):</w:t>
      </w:r>
    </w:p>
    <w:p w:rsidR="00000000" w:rsidDel="00000000" w:rsidP="00000000" w:rsidRDefault="00000000" w:rsidRPr="00000000" w14:paraId="0000007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Invesco QQQ Trust (QQQ):</w:t>
      </w:r>
    </w:p>
    <w:p w:rsidR="00000000" w:rsidDel="00000000" w:rsidP="00000000" w:rsidRDefault="00000000" w:rsidRPr="00000000" w14:paraId="0000007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Replicar el índice Nasdaq-100.</w:t>
      </w:r>
    </w:p>
    <w:p w:rsidR="00000000" w:rsidDel="00000000" w:rsidP="00000000" w:rsidRDefault="00000000" w:rsidRPr="00000000" w14:paraId="0000007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Actúa como estabilizador. Si bien MSFT, AMZN y NVDA ya tienen un gran peso en el QQQ, incluir este ETF permite capturar el crecimiento de otras empresas tecnológicas y de consumo discrecional (ej. Alphabet, Meta, Broadcom) sin tener que analizarlas individualmente, reduciendo el riesgo de que una sola empresa arrastre al portafolio.</w:t>
      </w:r>
    </w:p>
    <w:p w:rsidR="00000000" w:rsidDel="00000000" w:rsidP="00000000" w:rsidRDefault="00000000" w:rsidRPr="00000000" w14:paraId="00000078">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Selección de acciones (El Núcleo del Portafolio)</w:t>
      </w:r>
    </w:p>
    <w:p w:rsidR="00000000" w:rsidDel="00000000" w:rsidP="00000000" w:rsidRDefault="00000000" w:rsidRPr="00000000" w14:paraId="0000007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se basa en la cobertura de toda la cadena de valor de la IA y la computación en la nube:</w:t>
      </w:r>
    </w:p>
    <w:p w:rsidR="00000000" w:rsidDel="00000000" w:rsidP="00000000" w:rsidRDefault="00000000" w:rsidRPr="00000000" w14:paraId="0000007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(NVDA) - El Hardware (Picos y Palas):*</w:t>
      </w:r>
    </w:p>
    <w:p w:rsidR="00000000" w:rsidDel="00000000" w:rsidP="00000000" w:rsidRDefault="00000000" w:rsidRPr="00000000" w14:paraId="0000007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Tesis: En 2026, Nvidia no solo domina el entrenamiento de IA, sino que su arquitectura Blackwell/Rubin está siendo adoptada masivamente para la inferencia de IA. Sus márgenes brutos se mantienen excepcionalmente altos gracias al foso económico (ecosistema CUDA).</w:t>
      </w:r>
    </w:p>
    <w:p w:rsidR="00000000" w:rsidDel="00000000" w:rsidP="00000000" w:rsidRDefault="00000000" w:rsidRPr="00000000" w14:paraId="0000007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(MSFT) - El Software y la Nube Empresarial:</w:t>
      </w:r>
    </w:p>
    <w:p w:rsidR="00000000" w:rsidDel="00000000" w:rsidP="00000000" w:rsidRDefault="00000000" w:rsidRPr="00000000" w14:paraId="0000007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Tesis: A través de Azure y la integración de Copilot en todo su ecosistema (Office, GitHub), Microsoft está monetizando la IA directamente en el flujo de trabajo corporativo. Es el activo de "mayor calidad y menor volatilidad" de los tres, aportando flujo de caja libre masivo y dividendos.</w:t>
      </w:r>
    </w:p>
    <w:p w:rsidR="00000000" w:rsidDel="00000000" w:rsidP="00000000" w:rsidRDefault="00000000" w:rsidRPr="00000000" w14:paraId="0000007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(AMZN) - La Infraestructura y el Consumo:</w:t>
      </w:r>
    </w:p>
    <w:p w:rsidR="00000000" w:rsidDel="00000000" w:rsidP="00000000" w:rsidRDefault="00000000" w:rsidRPr="00000000" w14:paraId="0000007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Tesis: AWS sigue siendo la columna vertebral de internet. En 2026, Amazon ha logrado optimizar sus márgenes en su negocio minorista gracias a la robotización y la IA, mientras que AWS ofrece un crecimiento acelerado impulsado por sus propios chips personalizados (Trainium/Inferentia) que mejoran sus márgenes frente a la dependencia exclusiva de Nvidia.</w:t>
      </w:r>
    </w:p>
    <w:p w:rsidR="00000000" w:rsidDel="00000000" w:rsidP="00000000" w:rsidRDefault="00000000" w:rsidRPr="00000000" w14:paraId="00000080">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Distribución del capital</w:t>
      </w:r>
    </w:p>
    <w:p w:rsidR="00000000" w:rsidDel="00000000" w:rsidP="00000000" w:rsidRDefault="00000000" w:rsidRPr="00000000" w14:paraId="0000008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una asignación estratégica que equilibra el altísimo crecimiento de los semiconductores con la estabilidad de las plataformas de software y consumo.</w:t>
      </w:r>
    </w:p>
    <w:p w:rsidR="00000000" w:rsidDel="00000000" w:rsidP="00000000" w:rsidRDefault="00000000" w:rsidRPr="00000000" w14:paraId="00000082">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Peso en el Portafolio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en la Cartera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Ancla de estabilidad. Mayor peso por su diversificación de ingresos, resiliencia y menor volatilidad.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AMZN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Crecimiento equilibrado. Exposición a la nube (AWS) y al consumo global.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alto rendimiento. Mayor potencial de apreciación, pero con mayor riesgo cíclico.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Invesco QQQ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QQQ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Diversificación sistémica. Mitiga el riesgo de que el sector semiconductores o cloud sufra una corrección específica.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B">
      <w:pPr>
        <w:spacing w:after="160" w:line="36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Riesgos</w:t>
      </w:r>
    </w:p>
    <w:p w:rsidR="00000000" w:rsidDel="00000000" w:rsidP="00000000" w:rsidRDefault="00000000" w:rsidRPr="00000000" w14:paraId="000000A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este portafolio conlleva riesgos específicos que deben ser monitoreados:</w:t>
      </w:r>
    </w:p>
    <w:p w:rsidR="00000000" w:rsidDel="00000000" w:rsidP="00000000" w:rsidRDefault="00000000" w:rsidRPr="00000000" w14:paraId="000000AE">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Riesgo de Concentración Sectorial: El 85% del portafolio está en tres empresas de mega-capitalización tecnológica. Un cambio regulatorio (leyes antimonopolio en EE. UU. o Europa) contra Big Tech afectaría desproporcionadamente a la cartera.</w:t>
      </w:r>
    </w:p>
    <w:p w:rsidR="00000000" w:rsidDel="00000000" w:rsidP="00000000" w:rsidRDefault="00000000" w:rsidRPr="00000000" w14:paraId="000000AF">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Riesgo Cíclico de Semiconductores (NVDA): Históricamente, la industria de los chips es cíclica. Si en la segunda mitad de 2026 las empresas tecnológicas deciden que han invertido suficiente en infraestructura de IA y reducen sus gastos de capital (CapEx), las acciones de Nvidia podrían sufrir una corrección severa.</w:t>
      </w:r>
    </w:p>
    <w:p w:rsidR="00000000" w:rsidDel="00000000" w:rsidP="00000000" w:rsidRDefault="00000000" w:rsidRPr="00000000" w14:paraId="000000B0">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Riesgo Geopolítico (Guerra Tecnológica): Nuevas restricciones a la exportación de chips avanzados hacia China por parte del gobierno de EE. UU. podrían impactar entre un 10% y 15% de los ingresos de NVDA y AMZN.</w:t>
      </w:r>
    </w:p>
    <w:p w:rsidR="00000000" w:rsidDel="00000000" w:rsidP="00000000" w:rsidRDefault="00000000" w:rsidRPr="00000000" w14:paraId="000000B1">
      <w:pPr>
        <w:numPr>
          <w:ilvl w:val="0"/>
          <w:numId w:val="4"/>
        </w:numPr>
        <w:spacing w:after="1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Riesgo de Tasas de Interés: Al ser un portafolio de "crecimiento" (growth), sus valoraciones son sensibles a las tasas de descuento. Si la Reserva Federal (Fed) mantiene las tasas altas por más tiempo debido a la inflación, el múltiplo P/E (Precio/Beneficio) de estas acciones podría comprimirse.</w:t>
      </w:r>
    </w:p>
    <w:p w:rsidR="00000000" w:rsidDel="00000000" w:rsidP="00000000" w:rsidRDefault="00000000" w:rsidRPr="00000000" w14:paraId="000000B2">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Conclusiones</w:t>
      </w:r>
    </w:p>
    <w:p w:rsidR="00000000" w:rsidDel="00000000" w:rsidP="00000000" w:rsidRDefault="00000000" w:rsidRPr="00000000" w14:paraId="000000B3">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Cobertura Integral de la IA: El portafolio diseñado logra una exposición perfecta a la cadena de valor de la Inteligencia Artificial: Nvidia provee el poder de cómputo, Amazon (AWS) provee la infraestructura en la nube, y Microsoft provee el software y la interfaz para el usuario final.</w:t>
      </w:r>
    </w:p>
    <w:p w:rsidR="00000000" w:rsidDel="00000000" w:rsidP="00000000" w:rsidRDefault="00000000" w:rsidRPr="00000000" w14:paraId="000000B4">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Equilibrio Riesgo-Retorno: La ponderación de un 35% en Microsoft actúa como el "freno de mano" del portafolio, absorbiendo la alta volatilidad inherente a Nvidia (25%), mientras que Amazon (25%) ofrece una correlación positiva con el consumo y la nube.</w:t>
      </w:r>
    </w:p>
    <w:p w:rsidR="00000000" w:rsidDel="00000000" w:rsidP="00000000" w:rsidRDefault="00000000" w:rsidRPr="00000000" w14:paraId="000000B5">
      <w:pPr>
        <w:numPr>
          <w:ilvl w:val="0"/>
          <w:numId w:val="2"/>
        </w:numPr>
        <w:spacing w:after="1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Necesidad del ETF: La inclusión del QQQ (15%) es vital. En un escenario donde la rotación sectorial aleje el capital de las "Siete Magníficas" hacia acciones de valor o pequeñas capitalizaciones, el ETF proporcionará una red de seguridad al mantener exposición al resto del ecosistema Nasdaq.</w:t>
      </w:r>
    </w:p>
    <w:p w:rsidR="00000000" w:rsidDel="00000000" w:rsidP="00000000" w:rsidRDefault="00000000" w:rsidRPr="00000000" w14:paraId="000000B6">
      <w:pPr>
        <w:spacing w:after="1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Recomendación Final: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portafolio es altamente recomendable para inversores con un horizonte temporal a largo plazo (mínimo 5 años) y una alta tolerancia al riesgo (drawdowns del 20-30% en años de corrección tecnológica). No es apto para inversores que busquen preservación de capital a corto plazo o ingresos por dividendos inmediatos.</w:t>
      </w:r>
    </w:p>
    <w:p w:rsidR="00000000" w:rsidDel="00000000" w:rsidP="00000000" w:rsidRDefault="00000000" w:rsidRPr="00000000" w14:paraId="000000B9">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Bibliografía</w:t>
      </w:r>
    </w:p>
    <w:p w:rsidR="00000000" w:rsidDel="00000000" w:rsidP="00000000" w:rsidRDefault="00000000" w:rsidRPr="00000000" w14:paraId="000000BC">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Damodaran, A. (2025). Investment Valuation: Tools and Techniques for Determining the Value of Any Asset (4th ed.). Wiley Finance.</w:t>
      </w:r>
    </w:p>
    <w:p w:rsidR="00000000" w:rsidDel="00000000" w:rsidP="00000000" w:rsidRDefault="00000000" w:rsidRPr="00000000" w14:paraId="000000BD">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Markowitz, H. (1952). Portfolio Selection. The Journal of Finance, 7(1), 77-91.</w:t>
      </w:r>
    </w:p>
    <w:p w:rsidR="00000000" w:rsidDel="00000000" w:rsidP="00000000" w:rsidRDefault="00000000" w:rsidRPr="00000000" w14:paraId="000000BE">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Bloomberg Intelligence. (2026). Global AI Infrastructure &amp; Cloud Computing Outlook: Mid-Year Report. Bloomberg Professional Services.</w:t>
      </w:r>
    </w:p>
    <w:p w:rsidR="00000000" w:rsidDel="00000000" w:rsidP="00000000" w:rsidRDefault="00000000" w:rsidRPr="00000000" w14:paraId="000000BF">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Corp. (2026). Form 10-K (Annual Report) filed with the SEC. Investor Relations.</w:t>
      </w:r>
    </w:p>
    <w:p w:rsidR="00000000" w:rsidDel="00000000" w:rsidP="00000000" w:rsidRDefault="00000000" w:rsidRPr="00000000" w14:paraId="000000C0">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Corp. &amp; Amazon.com Inc. (2026). Earnings Transcripts Q1 2026 &amp; Forward Guidance. Seeking Alpha / Financial Times.</w:t>
      </w:r>
    </w:p>
    <w:p w:rsidR="00000000" w:rsidDel="00000000" w:rsidP="00000000" w:rsidRDefault="00000000" w:rsidRPr="00000000" w14:paraId="000000C1">
      <w:pPr>
        <w:numPr>
          <w:ilvl w:val="0"/>
          <w:numId w:val="3"/>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 W. F. (1964). Capital Asset Prices: A Theory of Market Equilibrium under Conditions of Risk. The Journal of Finance, 19(3), 425-442.</w:t>
      </w:r>
    </w:p>
    <w:p w:rsidR="00000000" w:rsidDel="00000000" w:rsidP="00000000" w:rsidRDefault="00000000" w:rsidRPr="00000000" w14:paraId="000000C2">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