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51A4E" w14:textId="77777777" w:rsidR="00971E76" w:rsidRPr="00797DE0" w:rsidRDefault="00971E76" w:rsidP="00CE2C71">
      <w:pPr>
        <w:rPr>
          <w:b/>
          <w:bCs/>
          <w:color w:val="808080" w:themeColor="background1" w:themeShade="80"/>
          <w:sz w:val="22"/>
          <w:szCs w:val="22"/>
        </w:rPr>
      </w:pPr>
      <w:bookmarkStart w:id="0" w:name="_GoBack"/>
      <w:bookmarkEnd w:id="0"/>
    </w:p>
    <w:p w14:paraId="655ED18A" w14:textId="77777777" w:rsidR="00797DE0" w:rsidRDefault="00C81603" w:rsidP="00C81603">
      <w:pPr>
        <w:jc w:val="center"/>
        <w:rPr>
          <w:b/>
          <w:bCs/>
          <w:color w:val="808080" w:themeColor="background1" w:themeShade="80"/>
          <w:sz w:val="22"/>
          <w:szCs w:val="22"/>
        </w:rPr>
      </w:pPr>
      <w:r>
        <w:rPr>
          <w:b/>
          <w:bCs/>
          <w:color w:val="808080" w:themeColor="background1" w:themeShade="80"/>
          <w:sz w:val="22"/>
          <w:szCs w:val="22"/>
        </w:rPr>
        <w:t>ANEXO 3</w:t>
      </w:r>
    </w:p>
    <w:p w14:paraId="0199859C" w14:textId="6B355708" w:rsidR="00797DE0" w:rsidRDefault="00797DE0" w:rsidP="00CE2C71">
      <w:pPr>
        <w:jc w:val="center"/>
        <w:rPr>
          <w:b/>
          <w:bCs/>
          <w:color w:val="808080" w:themeColor="background1" w:themeShade="80"/>
          <w:sz w:val="22"/>
          <w:szCs w:val="22"/>
        </w:rPr>
      </w:pPr>
      <w:r w:rsidRPr="00797DE0">
        <w:rPr>
          <w:b/>
          <w:bCs/>
          <w:color w:val="808080" w:themeColor="background1" w:themeShade="80"/>
          <w:sz w:val="22"/>
          <w:szCs w:val="22"/>
        </w:rPr>
        <w:t>Guía</w:t>
      </w:r>
      <w:r w:rsidR="00CE2C71">
        <w:rPr>
          <w:b/>
          <w:bCs/>
          <w:color w:val="808080" w:themeColor="background1" w:themeShade="80"/>
          <w:sz w:val="22"/>
          <w:szCs w:val="22"/>
        </w:rPr>
        <w:t xml:space="preserve"> para el </w:t>
      </w:r>
      <w:r>
        <w:rPr>
          <w:b/>
          <w:bCs/>
          <w:color w:val="808080" w:themeColor="background1" w:themeShade="80"/>
          <w:sz w:val="22"/>
          <w:szCs w:val="22"/>
        </w:rPr>
        <w:t>Diagn</w:t>
      </w:r>
      <w:r w:rsidR="00CE2C71">
        <w:rPr>
          <w:b/>
          <w:bCs/>
          <w:color w:val="808080" w:themeColor="background1" w:themeShade="80"/>
          <w:sz w:val="22"/>
          <w:szCs w:val="22"/>
        </w:rPr>
        <w:t>ó</w:t>
      </w:r>
      <w:r>
        <w:rPr>
          <w:b/>
          <w:bCs/>
          <w:color w:val="808080" w:themeColor="background1" w:themeShade="80"/>
          <w:sz w:val="22"/>
          <w:szCs w:val="22"/>
        </w:rPr>
        <w:t xml:space="preserve">stico </w:t>
      </w:r>
      <w:r w:rsidR="003E3A9A">
        <w:rPr>
          <w:b/>
          <w:bCs/>
          <w:color w:val="808080" w:themeColor="background1" w:themeShade="80"/>
          <w:sz w:val="22"/>
          <w:szCs w:val="22"/>
        </w:rPr>
        <w:t>del Nivel de Madurez Tecnológica</w:t>
      </w:r>
      <w:r>
        <w:rPr>
          <w:b/>
          <w:bCs/>
          <w:color w:val="808080" w:themeColor="background1" w:themeShade="80"/>
          <w:sz w:val="22"/>
          <w:szCs w:val="22"/>
        </w:rPr>
        <w:t xml:space="preserve"> (</w:t>
      </w:r>
      <w:r w:rsidR="003E3A9A">
        <w:rPr>
          <w:b/>
          <w:bCs/>
          <w:color w:val="808080" w:themeColor="background1" w:themeShade="80"/>
          <w:sz w:val="22"/>
          <w:szCs w:val="22"/>
        </w:rPr>
        <w:t xml:space="preserve">NMT o </w:t>
      </w:r>
      <w:r w:rsidRPr="00797DE0">
        <w:rPr>
          <w:b/>
          <w:bCs/>
          <w:color w:val="808080" w:themeColor="background1" w:themeShade="80"/>
          <w:sz w:val="22"/>
          <w:szCs w:val="22"/>
        </w:rPr>
        <w:t>TRL</w:t>
      </w:r>
      <w:r w:rsidR="003E3A9A">
        <w:rPr>
          <w:b/>
          <w:bCs/>
          <w:color w:val="808080" w:themeColor="background1" w:themeShade="80"/>
          <w:sz w:val="22"/>
          <w:szCs w:val="22"/>
        </w:rPr>
        <w:t>, por sus siglas en inglés</w:t>
      </w:r>
      <w:r>
        <w:rPr>
          <w:b/>
          <w:bCs/>
          <w:color w:val="808080" w:themeColor="background1" w:themeShade="80"/>
          <w:sz w:val="22"/>
          <w:szCs w:val="22"/>
        </w:rPr>
        <w:t>)</w:t>
      </w:r>
    </w:p>
    <w:p w14:paraId="79A7696A" w14:textId="77777777" w:rsidR="00797DE0" w:rsidRDefault="00797DE0" w:rsidP="00971E76">
      <w:pPr>
        <w:jc w:val="center"/>
        <w:rPr>
          <w:b/>
          <w:bCs/>
          <w:color w:val="808080" w:themeColor="background1" w:themeShade="80"/>
          <w:sz w:val="22"/>
          <w:szCs w:val="22"/>
        </w:rPr>
      </w:pPr>
    </w:p>
    <w:p w14:paraId="26840D1C" w14:textId="77777777" w:rsidR="00797DE0" w:rsidRDefault="00797DE0" w:rsidP="00971E76">
      <w:pPr>
        <w:jc w:val="center"/>
        <w:rPr>
          <w:b/>
          <w:bCs/>
          <w:color w:val="808080" w:themeColor="background1" w:themeShade="80"/>
          <w:sz w:val="22"/>
          <w:szCs w:val="22"/>
        </w:rPr>
      </w:pPr>
      <w:r w:rsidRPr="00797DE0">
        <w:rPr>
          <w:noProof/>
        </w:rPr>
        <w:drawing>
          <wp:inline distT="0" distB="0" distL="0" distR="0" wp14:anchorId="085D5EE8" wp14:editId="010E9BDA">
            <wp:extent cx="6537720" cy="6181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6915" cy="6190419"/>
                    </a:xfrm>
                    <a:prstGeom prst="rect">
                      <a:avLst/>
                    </a:prstGeom>
                    <a:noFill/>
                    <a:ln>
                      <a:noFill/>
                    </a:ln>
                  </pic:spPr>
                </pic:pic>
              </a:graphicData>
            </a:graphic>
          </wp:inline>
        </w:drawing>
      </w:r>
    </w:p>
    <w:p w14:paraId="32F7A518" w14:textId="77777777" w:rsidR="00797DE0" w:rsidRDefault="00797DE0" w:rsidP="00971E76">
      <w:pPr>
        <w:jc w:val="center"/>
        <w:rPr>
          <w:b/>
          <w:bCs/>
          <w:color w:val="808080" w:themeColor="background1" w:themeShade="80"/>
          <w:sz w:val="22"/>
          <w:szCs w:val="22"/>
        </w:rPr>
      </w:pPr>
    </w:p>
    <w:p w14:paraId="61854CDA" w14:textId="77777777" w:rsidR="00797DE0" w:rsidRDefault="00797DE0" w:rsidP="00971E76">
      <w:pPr>
        <w:jc w:val="center"/>
        <w:rPr>
          <w:b/>
          <w:bCs/>
          <w:color w:val="808080" w:themeColor="background1" w:themeShade="80"/>
          <w:sz w:val="22"/>
          <w:szCs w:val="22"/>
        </w:rPr>
      </w:pPr>
      <w:r w:rsidRPr="00797DE0">
        <w:rPr>
          <w:noProof/>
        </w:rPr>
        <w:lastRenderedPageBreak/>
        <w:drawing>
          <wp:inline distT="0" distB="0" distL="0" distR="0" wp14:anchorId="287DA073" wp14:editId="768117FB">
            <wp:extent cx="6332220" cy="34537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3453765"/>
                    </a:xfrm>
                    <a:prstGeom prst="rect">
                      <a:avLst/>
                    </a:prstGeom>
                    <a:noFill/>
                    <a:ln>
                      <a:noFill/>
                    </a:ln>
                  </pic:spPr>
                </pic:pic>
              </a:graphicData>
            </a:graphic>
          </wp:inline>
        </w:drawing>
      </w:r>
    </w:p>
    <w:p w14:paraId="51E23DCE" w14:textId="77777777" w:rsidR="00797DE0" w:rsidRDefault="00797DE0" w:rsidP="00971E76">
      <w:pPr>
        <w:jc w:val="center"/>
        <w:rPr>
          <w:b/>
          <w:bCs/>
          <w:color w:val="808080" w:themeColor="background1" w:themeShade="80"/>
          <w:sz w:val="22"/>
          <w:szCs w:val="22"/>
        </w:rPr>
      </w:pPr>
    </w:p>
    <w:p w14:paraId="6F69F647" w14:textId="77777777" w:rsidR="00953F68" w:rsidRPr="000328F3" w:rsidRDefault="00953F68" w:rsidP="00953F68">
      <w:pPr>
        <w:jc w:val="both"/>
        <w:rPr>
          <w:rFonts w:asciiTheme="majorHAnsi" w:hAnsiTheme="majorHAnsi"/>
          <w:b/>
          <w:bCs/>
          <w:sz w:val="16"/>
          <w:szCs w:val="16"/>
        </w:rPr>
      </w:pPr>
      <w:r w:rsidRPr="000328F3">
        <w:rPr>
          <w:rFonts w:asciiTheme="majorHAnsi" w:hAnsiTheme="majorHAnsi"/>
          <w:b/>
          <w:bCs/>
          <w:sz w:val="16"/>
          <w:szCs w:val="16"/>
        </w:rPr>
        <w:t>Conceptos:</w:t>
      </w:r>
      <w:r w:rsidRPr="000328F3">
        <w:rPr>
          <w:rFonts w:asciiTheme="majorHAnsi" w:hAnsiTheme="majorHAnsi"/>
          <w:b/>
          <w:bCs/>
          <w:sz w:val="16"/>
          <w:szCs w:val="16"/>
        </w:rPr>
        <w:tab/>
      </w:r>
      <w:r w:rsidRPr="000328F3">
        <w:rPr>
          <w:rFonts w:asciiTheme="majorHAnsi" w:hAnsiTheme="majorHAnsi"/>
          <w:b/>
          <w:bCs/>
          <w:sz w:val="16"/>
          <w:szCs w:val="16"/>
        </w:rPr>
        <w:tab/>
      </w:r>
      <w:r w:rsidRPr="000328F3">
        <w:rPr>
          <w:rFonts w:asciiTheme="majorHAnsi" w:hAnsiTheme="majorHAnsi"/>
          <w:b/>
          <w:bCs/>
          <w:sz w:val="16"/>
          <w:szCs w:val="16"/>
        </w:rPr>
        <w:tab/>
      </w:r>
      <w:r w:rsidRPr="000328F3">
        <w:rPr>
          <w:rFonts w:asciiTheme="majorHAnsi" w:hAnsiTheme="majorHAnsi"/>
          <w:b/>
          <w:bCs/>
          <w:sz w:val="16"/>
          <w:szCs w:val="16"/>
        </w:rPr>
        <w:tab/>
      </w:r>
      <w:r w:rsidRPr="000328F3">
        <w:rPr>
          <w:rFonts w:asciiTheme="majorHAnsi" w:hAnsiTheme="majorHAnsi"/>
          <w:b/>
          <w:bCs/>
          <w:sz w:val="16"/>
          <w:szCs w:val="16"/>
        </w:rPr>
        <w:tab/>
      </w:r>
      <w:r w:rsidRPr="000328F3">
        <w:rPr>
          <w:rFonts w:asciiTheme="majorHAnsi" w:hAnsiTheme="majorHAnsi"/>
          <w:b/>
          <w:bCs/>
          <w:sz w:val="16"/>
          <w:szCs w:val="16"/>
        </w:rPr>
        <w:tab/>
      </w:r>
      <w:r w:rsidRPr="000328F3">
        <w:rPr>
          <w:rFonts w:asciiTheme="majorHAnsi" w:hAnsiTheme="majorHAnsi"/>
          <w:b/>
          <w:bCs/>
          <w:sz w:val="16"/>
          <w:szCs w:val="16"/>
        </w:rPr>
        <w:tab/>
      </w:r>
      <w:r w:rsidRPr="000328F3">
        <w:rPr>
          <w:rFonts w:asciiTheme="majorHAnsi" w:hAnsiTheme="majorHAnsi"/>
          <w:b/>
          <w:bCs/>
          <w:sz w:val="16"/>
          <w:szCs w:val="16"/>
        </w:rPr>
        <w:tab/>
      </w:r>
      <w:r w:rsidRPr="000328F3">
        <w:rPr>
          <w:rFonts w:asciiTheme="majorHAnsi" w:hAnsiTheme="majorHAnsi"/>
          <w:b/>
          <w:bCs/>
          <w:sz w:val="16"/>
          <w:szCs w:val="16"/>
        </w:rPr>
        <w:tab/>
      </w:r>
    </w:p>
    <w:p w14:paraId="4F19F7F4" w14:textId="77777777" w:rsidR="00953F68" w:rsidRPr="000328F3" w:rsidRDefault="00953F68" w:rsidP="00953F68">
      <w:pPr>
        <w:jc w:val="both"/>
        <w:rPr>
          <w:rFonts w:asciiTheme="majorHAnsi" w:hAnsiTheme="majorHAnsi"/>
          <w:sz w:val="16"/>
          <w:szCs w:val="16"/>
        </w:rPr>
      </w:pP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2BE504C4" w14:textId="77777777" w:rsidR="002E7DF5" w:rsidRDefault="002E7DF5" w:rsidP="00953F68">
      <w:pPr>
        <w:jc w:val="both"/>
        <w:rPr>
          <w:rFonts w:asciiTheme="majorHAnsi" w:hAnsiTheme="majorHAnsi"/>
          <w:sz w:val="16"/>
          <w:szCs w:val="16"/>
        </w:rPr>
      </w:pPr>
      <w:r>
        <w:rPr>
          <w:rFonts w:asciiTheme="majorHAnsi" w:hAnsiTheme="majorHAnsi"/>
          <w:b/>
          <w:bCs/>
          <w:sz w:val="16"/>
          <w:szCs w:val="16"/>
        </w:rPr>
        <w:t>Nivel de Madurez Tecnológica (</w:t>
      </w:r>
      <w:proofErr w:type="spellStart"/>
      <w:r>
        <w:rPr>
          <w:rFonts w:asciiTheme="majorHAnsi" w:hAnsiTheme="majorHAnsi"/>
          <w:b/>
          <w:bCs/>
          <w:sz w:val="16"/>
          <w:szCs w:val="16"/>
        </w:rPr>
        <w:t>NMT</w:t>
      </w:r>
      <w:proofErr w:type="spellEnd"/>
      <w:r>
        <w:rPr>
          <w:rFonts w:asciiTheme="majorHAnsi" w:hAnsiTheme="majorHAnsi"/>
          <w:b/>
          <w:bCs/>
          <w:sz w:val="16"/>
          <w:szCs w:val="16"/>
        </w:rPr>
        <w:t xml:space="preserve"> o </w:t>
      </w:r>
      <w:proofErr w:type="spellStart"/>
      <w:r w:rsidR="00953F68" w:rsidRPr="000328F3">
        <w:rPr>
          <w:rFonts w:asciiTheme="majorHAnsi" w:hAnsiTheme="majorHAnsi"/>
          <w:b/>
          <w:bCs/>
          <w:sz w:val="16"/>
          <w:szCs w:val="16"/>
        </w:rPr>
        <w:t>Technology</w:t>
      </w:r>
      <w:proofErr w:type="spellEnd"/>
      <w:r w:rsidR="00953F68" w:rsidRPr="000328F3">
        <w:rPr>
          <w:rFonts w:asciiTheme="majorHAnsi" w:hAnsiTheme="majorHAnsi"/>
          <w:b/>
          <w:bCs/>
          <w:sz w:val="16"/>
          <w:szCs w:val="16"/>
        </w:rPr>
        <w:t xml:space="preserve"> </w:t>
      </w:r>
      <w:proofErr w:type="spellStart"/>
      <w:r w:rsidR="00953F68" w:rsidRPr="000328F3">
        <w:rPr>
          <w:rFonts w:asciiTheme="majorHAnsi" w:hAnsiTheme="majorHAnsi"/>
          <w:b/>
          <w:bCs/>
          <w:sz w:val="16"/>
          <w:szCs w:val="16"/>
        </w:rPr>
        <w:t>Readiness</w:t>
      </w:r>
      <w:proofErr w:type="spellEnd"/>
      <w:r w:rsidR="00953F68" w:rsidRPr="000328F3">
        <w:rPr>
          <w:rFonts w:asciiTheme="majorHAnsi" w:hAnsiTheme="majorHAnsi"/>
          <w:b/>
          <w:bCs/>
          <w:sz w:val="16"/>
          <w:szCs w:val="16"/>
        </w:rPr>
        <w:t xml:space="preserve"> </w:t>
      </w:r>
      <w:proofErr w:type="spellStart"/>
      <w:r w:rsidR="00953F68" w:rsidRPr="000328F3">
        <w:rPr>
          <w:rFonts w:asciiTheme="majorHAnsi" w:hAnsiTheme="majorHAnsi"/>
          <w:b/>
          <w:bCs/>
          <w:sz w:val="16"/>
          <w:szCs w:val="16"/>
        </w:rPr>
        <w:t>Level</w:t>
      </w:r>
      <w:proofErr w:type="spellEnd"/>
      <w:r w:rsidR="00953F68" w:rsidRPr="000328F3">
        <w:rPr>
          <w:rFonts w:asciiTheme="majorHAnsi" w:hAnsiTheme="majorHAnsi"/>
          <w:b/>
          <w:bCs/>
          <w:sz w:val="16"/>
          <w:szCs w:val="16"/>
        </w:rPr>
        <w:t>, TRL</w:t>
      </w:r>
      <w:r>
        <w:rPr>
          <w:rFonts w:asciiTheme="majorHAnsi" w:hAnsiTheme="majorHAnsi"/>
          <w:b/>
          <w:bCs/>
          <w:sz w:val="16"/>
          <w:szCs w:val="16"/>
        </w:rPr>
        <w:t>, en inglés)</w:t>
      </w:r>
      <w:r w:rsidR="00953F68" w:rsidRPr="000328F3">
        <w:rPr>
          <w:rFonts w:asciiTheme="majorHAnsi" w:hAnsiTheme="majorHAnsi"/>
          <w:b/>
          <w:bCs/>
          <w:sz w:val="16"/>
          <w:szCs w:val="16"/>
        </w:rPr>
        <w:t>:</w:t>
      </w:r>
      <w:r w:rsidR="00953F68" w:rsidRPr="000328F3">
        <w:rPr>
          <w:rFonts w:asciiTheme="majorHAnsi" w:hAnsiTheme="majorHAnsi"/>
          <w:sz w:val="16"/>
          <w:szCs w:val="16"/>
        </w:rPr>
        <w:t xml:space="preserve">  Es una escala de medición usada para evaluar o medir el nivel de madurez de una tecnología particular. Cada proyecto es evaluado frente a los parámetros de cada nivel tecnológico y es asignado a una clasificación basada en el progreso del proyecto.  </w:t>
      </w:r>
      <w:r w:rsidR="00953F68" w:rsidRPr="000328F3">
        <w:rPr>
          <w:rFonts w:asciiTheme="majorHAnsi" w:hAnsiTheme="majorHAnsi"/>
          <w:sz w:val="16"/>
          <w:szCs w:val="16"/>
        </w:rPr>
        <w:tab/>
      </w:r>
      <w:r w:rsidR="00953F68" w:rsidRPr="000328F3">
        <w:rPr>
          <w:rFonts w:asciiTheme="majorHAnsi" w:hAnsiTheme="majorHAnsi"/>
          <w:sz w:val="16"/>
          <w:szCs w:val="16"/>
        </w:rPr>
        <w:tab/>
      </w:r>
    </w:p>
    <w:p w14:paraId="324A36B7" w14:textId="491453F0" w:rsidR="00953F68" w:rsidRPr="000328F3" w:rsidRDefault="00953F68" w:rsidP="00953F68">
      <w:pPr>
        <w:jc w:val="both"/>
        <w:rPr>
          <w:rFonts w:asciiTheme="majorHAnsi" w:hAnsiTheme="majorHAnsi"/>
          <w:sz w:val="16"/>
          <w:szCs w:val="16"/>
        </w:rPr>
      </w:pP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6421D39C" w14:textId="77777777" w:rsidR="00953F68" w:rsidRPr="000328F3" w:rsidRDefault="00953F68" w:rsidP="00953F68">
      <w:pPr>
        <w:jc w:val="both"/>
        <w:rPr>
          <w:rFonts w:asciiTheme="majorHAnsi" w:hAnsiTheme="majorHAnsi"/>
          <w:sz w:val="16"/>
          <w:szCs w:val="16"/>
        </w:rPr>
      </w:pPr>
      <w:r w:rsidRPr="000328F3">
        <w:rPr>
          <w:rFonts w:asciiTheme="majorHAnsi" w:hAnsiTheme="majorHAnsi"/>
          <w:b/>
          <w:bCs/>
          <w:sz w:val="16"/>
          <w:szCs w:val="16"/>
        </w:rPr>
        <w:t>Investigación y Desarrollo Experimental (I+D):</w:t>
      </w:r>
      <w:r w:rsidRPr="000328F3">
        <w:rPr>
          <w:rFonts w:asciiTheme="majorHAnsi" w:hAnsiTheme="majorHAnsi"/>
          <w:sz w:val="16"/>
          <w:szCs w:val="16"/>
        </w:rPr>
        <w:t xml:space="preserve"> Es una actividad de innovación tecnológica puede ser llevada a cabo en diferentes fases del proceso de innovación, siendo utilizada no sólo como la fuente de ideas creadoras sino también para resolver los problemas que pueden surgir en cualquier fase de dicho proceso hasta su culminación. Comprende la investigación básica, la investigación aplicada y el desarrollo experimental. </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00BFEC4E" w14:textId="77777777" w:rsidR="00953F68" w:rsidRPr="000328F3" w:rsidRDefault="00953F68" w:rsidP="00953F68">
      <w:pPr>
        <w:jc w:val="both"/>
        <w:rPr>
          <w:rFonts w:asciiTheme="majorHAnsi" w:hAnsiTheme="majorHAnsi"/>
          <w:sz w:val="16"/>
          <w:szCs w:val="16"/>
        </w:rPr>
      </w:pPr>
      <w:r w:rsidRPr="000328F3">
        <w:rPr>
          <w:rFonts w:asciiTheme="majorHAnsi" w:hAnsiTheme="majorHAnsi"/>
          <w:b/>
          <w:bCs/>
          <w:sz w:val="16"/>
          <w:szCs w:val="16"/>
        </w:rPr>
        <w:t xml:space="preserve">La investigación básica </w:t>
      </w:r>
      <w:r w:rsidRPr="000328F3">
        <w:rPr>
          <w:rFonts w:asciiTheme="majorHAnsi" w:hAnsiTheme="majorHAnsi"/>
          <w:sz w:val="16"/>
          <w:szCs w:val="16"/>
        </w:rPr>
        <w:t>consiste en trabajos experimentales o teóricos que se emprenden principalmente para obtener nuevos conocimientos acerca de los fundamentos de los fenómenos y hechos observables, sin pensar en darles ninguna aplicación o utilización determinada.</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5DD91DA3" w14:textId="77777777" w:rsidR="00953F68" w:rsidRPr="000328F3" w:rsidRDefault="00953F68" w:rsidP="00953F68">
      <w:pPr>
        <w:jc w:val="both"/>
        <w:rPr>
          <w:rFonts w:asciiTheme="majorHAnsi" w:hAnsiTheme="majorHAnsi"/>
          <w:sz w:val="16"/>
          <w:szCs w:val="16"/>
        </w:rPr>
      </w:pPr>
      <w:r w:rsidRPr="000328F3">
        <w:rPr>
          <w:rFonts w:asciiTheme="majorHAnsi" w:hAnsiTheme="majorHAnsi"/>
          <w:b/>
          <w:bCs/>
          <w:sz w:val="16"/>
          <w:szCs w:val="16"/>
        </w:rPr>
        <w:t>La investigación aplicada</w:t>
      </w:r>
      <w:r w:rsidRPr="000328F3">
        <w:rPr>
          <w:rFonts w:asciiTheme="majorHAnsi" w:hAnsiTheme="majorHAnsi"/>
          <w:sz w:val="16"/>
          <w:szCs w:val="16"/>
        </w:rPr>
        <w:t xml:space="preserve"> consiste también en trabajos originales realizados para adquirir nuevos conocimientos; sin embargo, está dirigida fundamentalmente hacia un objetivo práctico específico. </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6D52E3FC" w14:textId="77777777" w:rsidR="00953F68" w:rsidRPr="000328F3" w:rsidRDefault="00953F68" w:rsidP="00953F68">
      <w:pPr>
        <w:jc w:val="both"/>
        <w:rPr>
          <w:rFonts w:asciiTheme="majorHAnsi" w:hAnsiTheme="majorHAnsi"/>
          <w:sz w:val="16"/>
          <w:szCs w:val="16"/>
        </w:rPr>
      </w:pPr>
      <w:r w:rsidRPr="000328F3">
        <w:rPr>
          <w:rFonts w:asciiTheme="majorHAnsi" w:hAnsiTheme="majorHAnsi"/>
          <w:b/>
          <w:bCs/>
          <w:sz w:val="16"/>
          <w:szCs w:val="16"/>
        </w:rPr>
        <w:t>El desarrollo experimental</w:t>
      </w:r>
      <w:r w:rsidRPr="000328F3">
        <w:rPr>
          <w:rFonts w:asciiTheme="majorHAnsi" w:hAnsiTheme="majorHAnsi"/>
          <w:sz w:val="16"/>
          <w:szCs w:val="16"/>
        </w:rPr>
        <w:t xml:space="preserve"> consiste en trabajos sistemáticos que aprovechan los conocimientos existentes obtenidos de la investigación y/o la experiencia práctica, y está dirigido a la producción de nuevos materiales, productos o dispositivos; a la puesta en marcha de nuevos procesos, sistemas y servicios, o a la mejora sustancial de los ya existentes.</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200123D3" w14:textId="77777777" w:rsidR="00953F68" w:rsidRPr="000328F3" w:rsidRDefault="00953F68" w:rsidP="00953F68">
      <w:pPr>
        <w:jc w:val="both"/>
        <w:rPr>
          <w:rFonts w:asciiTheme="majorHAnsi" w:hAnsiTheme="majorHAnsi"/>
          <w:sz w:val="16"/>
          <w:szCs w:val="16"/>
        </w:rPr>
      </w:pPr>
      <w:r>
        <w:rPr>
          <w:rFonts w:asciiTheme="majorHAnsi" w:hAnsiTheme="majorHAnsi"/>
          <w:sz w:val="16"/>
          <w:szCs w:val="16"/>
        </w:rPr>
        <w:t>F</w:t>
      </w:r>
      <w:r w:rsidRPr="000328F3">
        <w:rPr>
          <w:rFonts w:asciiTheme="majorHAnsi" w:hAnsiTheme="majorHAnsi"/>
          <w:sz w:val="16"/>
          <w:szCs w:val="16"/>
        </w:rPr>
        <w:t>uente: Manual de Frascati (2002) OCDE, Propuesta de Norma Práctica para Encuestas de Investigación y Desarrollo Experimental.</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66C81112" w14:textId="77777777" w:rsidR="00953F68" w:rsidRDefault="00953F68" w:rsidP="00953F68">
      <w:pPr>
        <w:jc w:val="both"/>
        <w:rPr>
          <w:rFonts w:asciiTheme="majorHAnsi" w:hAnsiTheme="majorHAnsi"/>
          <w:sz w:val="16"/>
          <w:szCs w:val="16"/>
        </w:rPr>
      </w:pPr>
      <w:r w:rsidRPr="000328F3">
        <w:rPr>
          <w:rFonts w:asciiTheme="majorHAnsi" w:hAnsiTheme="majorHAnsi"/>
          <w:b/>
          <w:bCs/>
          <w:sz w:val="16"/>
          <w:szCs w:val="16"/>
        </w:rPr>
        <w:t>Innovación:</w:t>
      </w:r>
      <w:r w:rsidRPr="000328F3">
        <w:rPr>
          <w:rFonts w:asciiTheme="majorHAnsi" w:hAnsiTheme="majorHAnsi"/>
          <w:sz w:val="16"/>
          <w:szCs w:val="16"/>
        </w:rPr>
        <w:t xml:space="preserve"> Es la introducción al mercado de un producto (bien o servicio), proceso, método de comercialización o método organizacional nuevo o significativamente mejorado, por parte de una organización. (Manual de Oslo, 2005, OCDE, Tercera edición.) Observe que sus principales características son que es algo nuevo, único y comercializable.</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42B3C6C8" w14:textId="77777777" w:rsidR="002E7DF5" w:rsidRDefault="002E7DF5" w:rsidP="00953F68">
      <w:pPr>
        <w:jc w:val="both"/>
        <w:rPr>
          <w:rFonts w:asciiTheme="majorHAnsi" w:hAnsiTheme="majorHAnsi"/>
          <w:b/>
          <w:bCs/>
          <w:sz w:val="16"/>
          <w:szCs w:val="16"/>
        </w:rPr>
      </w:pPr>
    </w:p>
    <w:p w14:paraId="2443BAF4" w14:textId="0BF4A03C" w:rsidR="00953F68" w:rsidRDefault="00953F68" w:rsidP="00953F68">
      <w:pPr>
        <w:jc w:val="both"/>
        <w:rPr>
          <w:rFonts w:asciiTheme="majorHAnsi" w:hAnsiTheme="majorHAnsi"/>
          <w:sz w:val="16"/>
          <w:szCs w:val="16"/>
        </w:rPr>
      </w:pPr>
      <w:r w:rsidRPr="000328F3">
        <w:rPr>
          <w:rFonts w:asciiTheme="majorHAnsi" w:hAnsiTheme="majorHAnsi"/>
          <w:b/>
          <w:bCs/>
          <w:sz w:val="16"/>
          <w:szCs w:val="16"/>
        </w:rPr>
        <w:t>Innovación tecnológica:</w:t>
      </w:r>
      <w:r w:rsidRPr="000328F3">
        <w:rPr>
          <w:rFonts w:asciiTheme="majorHAnsi" w:hAnsiTheme="majorHAnsi"/>
          <w:sz w:val="16"/>
          <w:szCs w:val="16"/>
        </w:rPr>
        <w:t xml:space="preserve"> Innovación que se distingue por una mejora o novedad en las características del desempeño de los productos o servicios, y su aplicabilidad en la práctica dependerá del grado en que dichas características y su grado de novedad sean un factor importante en las ventas de una empresa o industria concerniente. (Manual de Oslo, 2005, OCDE, Tercera edición.)</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5567ED31" w14:textId="77777777" w:rsidR="00953F68" w:rsidRPr="000328F3" w:rsidRDefault="00953F68" w:rsidP="00953F68">
      <w:pPr>
        <w:jc w:val="both"/>
        <w:rPr>
          <w:rFonts w:asciiTheme="majorHAnsi" w:hAnsiTheme="majorHAnsi"/>
          <w:sz w:val="16"/>
          <w:szCs w:val="16"/>
        </w:rPr>
      </w:pPr>
      <w:r w:rsidRPr="000328F3">
        <w:rPr>
          <w:rFonts w:asciiTheme="majorHAnsi" w:hAnsiTheme="majorHAnsi"/>
          <w:b/>
          <w:bCs/>
          <w:sz w:val="16"/>
          <w:szCs w:val="16"/>
        </w:rPr>
        <w:t>Desarrollo tecnológico:</w:t>
      </w:r>
      <w:r w:rsidRPr="000328F3">
        <w:rPr>
          <w:rFonts w:asciiTheme="majorHAnsi" w:hAnsiTheme="majorHAnsi"/>
          <w:sz w:val="16"/>
          <w:szCs w:val="16"/>
        </w:rPr>
        <w:t xml:space="preserve"> Desarrollo Tecnológico. Uso sistemático del conocimiento y la investigación dirigidos hacia la producción de materiales, dispositivos, sistemas o métodos incluyendo el diseño, desarrollo, mejora de prototipos, procesos, productos, servicios o modelos organizativos (LCTI).</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0F0366BE" w14:textId="77777777" w:rsidR="00953F68" w:rsidRPr="000328F3" w:rsidRDefault="00953F68" w:rsidP="00953F68">
      <w:pPr>
        <w:jc w:val="both"/>
        <w:rPr>
          <w:rFonts w:asciiTheme="majorHAnsi" w:hAnsiTheme="majorHAnsi"/>
          <w:sz w:val="16"/>
          <w:szCs w:val="16"/>
        </w:rPr>
      </w:pPr>
      <w:r w:rsidRPr="000328F3">
        <w:rPr>
          <w:rFonts w:asciiTheme="majorHAnsi" w:hAnsiTheme="majorHAnsi"/>
          <w:b/>
          <w:bCs/>
          <w:sz w:val="16"/>
          <w:szCs w:val="16"/>
        </w:rPr>
        <w:lastRenderedPageBreak/>
        <w:t>Propiedad intelectual:</w:t>
      </w:r>
      <w:r w:rsidRPr="000328F3">
        <w:rPr>
          <w:rFonts w:asciiTheme="majorHAnsi" w:hAnsiTheme="majorHAnsi"/>
          <w:sz w:val="16"/>
          <w:szCs w:val="16"/>
        </w:rPr>
        <w:t xml:space="preserve"> Conjunto de derechos de carácter exclusivo que otorga el Estado, por tiempo determinado, a las personas físicas o morales que han realizado creaciones intelectuales abarcando las obras contempladas por la Propiedad Industrial, Derechos de Obtentor y el Derecho de Autor. (NMX-GT-001-IMNC-2007)</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1CB260EB" w14:textId="4384E5B1" w:rsidR="002E7DF5" w:rsidRDefault="00953F68" w:rsidP="00953F68">
      <w:pPr>
        <w:jc w:val="both"/>
        <w:rPr>
          <w:rFonts w:asciiTheme="majorHAnsi" w:hAnsiTheme="majorHAnsi"/>
          <w:sz w:val="16"/>
          <w:szCs w:val="16"/>
        </w:rPr>
      </w:pPr>
      <w:r w:rsidRPr="000328F3">
        <w:rPr>
          <w:rFonts w:asciiTheme="majorHAnsi" w:hAnsiTheme="majorHAnsi"/>
          <w:b/>
          <w:bCs/>
          <w:sz w:val="16"/>
          <w:szCs w:val="16"/>
        </w:rPr>
        <w:t>Pruebas:</w:t>
      </w:r>
      <w:r w:rsidRPr="000328F3">
        <w:rPr>
          <w:rFonts w:asciiTheme="majorHAnsi" w:hAnsiTheme="majorHAnsi"/>
          <w:sz w:val="16"/>
          <w:szCs w:val="16"/>
        </w:rPr>
        <w:t xml:space="preserve"> Se refiere a todas las actividades que sean requeridas para validar y demostrar la funcionalidad de los </w:t>
      </w:r>
      <w:r w:rsidR="002E7DF5" w:rsidRPr="000328F3">
        <w:rPr>
          <w:rFonts w:asciiTheme="majorHAnsi" w:hAnsiTheme="majorHAnsi"/>
          <w:sz w:val="16"/>
          <w:szCs w:val="16"/>
        </w:rPr>
        <w:t>componentes,</w:t>
      </w:r>
      <w:r w:rsidRPr="000328F3">
        <w:rPr>
          <w:rFonts w:asciiTheme="majorHAnsi" w:hAnsiTheme="majorHAnsi"/>
          <w:sz w:val="16"/>
          <w:szCs w:val="16"/>
        </w:rPr>
        <w:t xml:space="preserve"> así como su aplicación.  </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7B0658A3" w14:textId="49EC7C10" w:rsidR="00953F68" w:rsidRPr="000328F3" w:rsidRDefault="00953F68" w:rsidP="00953F68">
      <w:pPr>
        <w:jc w:val="both"/>
        <w:rPr>
          <w:rFonts w:asciiTheme="majorHAnsi" w:hAnsiTheme="majorHAnsi"/>
          <w:sz w:val="16"/>
          <w:szCs w:val="16"/>
        </w:rPr>
      </w:pPr>
      <w:r w:rsidRPr="000328F3">
        <w:rPr>
          <w:rFonts w:asciiTheme="majorHAnsi" w:hAnsiTheme="majorHAnsi"/>
          <w:b/>
          <w:bCs/>
          <w:sz w:val="16"/>
          <w:szCs w:val="16"/>
        </w:rPr>
        <w:t>Principios básicos:</w:t>
      </w:r>
      <w:r w:rsidRPr="000328F3">
        <w:rPr>
          <w:rFonts w:asciiTheme="majorHAnsi" w:hAnsiTheme="majorHAnsi"/>
          <w:sz w:val="16"/>
          <w:szCs w:val="16"/>
        </w:rPr>
        <w:t xml:space="preserve"> Es aquello que sustenta, respalda y da validez a la idea y traza la línea de investigación. </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3D834CD7" w14:textId="77777777" w:rsidR="00953F68" w:rsidRPr="000328F3" w:rsidRDefault="00953F68" w:rsidP="00953F68">
      <w:pPr>
        <w:jc w:val="both"/>
        <w:rPr>
          <w:rFonts w:asciiTheme="majorHAnsi" w:hAnsiTheme="majorHAnsi"/>
          <w:sz w:val="16"/>
          <w:szCs w:val="16"/>
        </w:rPr>
      </w:pPr>
      <w:r w:rsidRPr="000328F3">
        <w:rPr>
          <w:rFonts w:asciiTheme="majorHAnsi" w:hAnsiTheme="majorHAnsi"/>
          <w:b/>
          <w:bCs/>
          <w:sz w:val="16"/>
          <w:szCs w:val="16"/>
        </w:rPr>
        <w:t xml:space="preserve">Validación comercial / Quick Look: </w:t>
      </w:r>
      <w:r w:rsidRPr="000328F3">
        <w:rPr>
          <w:rFonts w:asciiTheme="majorHAnsi" w:hAnsiTheme="majorHAnsi"/>
          <w:sz w:val="16"/>
          <w:szCs w:val="16"/>
        </w:rPr>
        <w:t xml:space="preserve">Poder identificar-validar, a través del contacto con fuentes primarias directas, las secciones del CANVAS relacionadas con los segmentos de clientes, mercado y propuesta de valor que agrega la oferta tecnológica.  </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7127B609" w14:textId="77777777" w:rsidR="00953F68" w:rsidRPr="000328F3" w:rsidRDefault="00953F68" w:rsidP="00953F68">
      <w:pPr>
        <w:jc w:val="both"/>
        <w:rPr>
          <w:rFonts w:asciiTheme="majorHAnsi" w:hAnsiTheme="majorHAnsi"/>
          <w:sz w:val="16"/>
          <w:szCs w:val="16"/>
        </w:rPr>
      </w:pPr>
      <w:r w:rsidRPr="000328F3">
        <w:rPr>
          <w:rFonts w:asciiTheme="majorHAnsi" w:hAnsiTheme="majorHAnsi"/>
          <w:sz w:val="16"/>
          <w:szCs w:val="16"/>
        </w:rPr>
        <w:t>El Quick Look contiene lo siguiente, utilizando como referencia fuentes secundarias como marco referencial, pero principalmente de fuente primarias (de preferencia al menos 100 entrevistas con actores clave de la industria en cuestión) : Descripción de la tecnología, beneficios potenciales, mercados potenciales para la comercialización, interés de los mercados, estado que guarda el desarrollo tecnológico, proceso de protección intelectual, tecnologías que compiten y competidores “análisis de benchmarking”, identificación de barreras de entrada al mercado, recomendaciones, medición del nivel potencial de comercialización, realizar entrevistas con expertos de mercado y de transferencia de tecnología y documentación de entrevistas (Internet, presenciales, telefónicas, grupos de enfoque, etc.).</w:t>
      </w:r>
      <w:r w:rsidRPr="000328F3">
        <w:rPr>
          <w:rFonts w:asciiTheme="majorHAnsi" w:hAnsiTheme="majorHAnsi"/>
          <w:sz w:val="16"/>
          <w:szCs w:val="16"/>
        </w:rPr>
        <w:tab/>
      </w:r>
      <w:r w:rsidRPr="000328F3">
        <w:rPr>
          <w:rFonts w:asciiTheme="majorHAnsi" w:hAnsiTheme="majorHAnsi"/>
          <w:sz w:val="16"/>
          <w:szCs w:val="16"/>
        </w:rPr>
        <w:tab/>
      </w:r>
    </w:p>
    <w:p w14:paraId="1B7F609F" w14:textId="77777777" w:rsidR="00953F68" w:rsidRPr="000328F3" w:rsidRDefault="00953F68" w:rsidP="00953F68">
      <w:pPr>
        <w:jc w:val="both"/>
        <w:rPr>
          <w:rFonts w:asciiTheme="majorHAnsi" w:hAnsiTheme="majorHAnsi"/>
          <w:sz w:val="16"/>
          <w:szCs w:val="16"/>
        </w:rPr>
      </w:pP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00AA763A" w14:textId="77777777" w:rsidR="00953F68" w:rsidRPr="000328F3" w:rsidRDefault="00953F68" w:rsidP="00953F68">
      <w:pPr>
        <w:jc w:val="both"/>
        <w:rPr>
          <w:rFonts w:asciiTheme="majorHAnsi" w:hAnsiTheme="majorHAnsi"/>
          <w:sz w:val="16"/>
          <w:szCs w:val="16"/>
        </w:rPr>
      </w:pPr>
      <w:r w:rsidRPr="000328F3">
        <w:rPr>
          <w:rFonts w:asciiTheme="majorHAnsi" w:hAnsiTheme="majorHAnsi"/>
          <w:b/>
          <w:bCs/>
          <w:sz w:val="16"/>
          <w:szCs w:val="16"/>
        </w:rPr>
        <w:t xml:space="preserve">Ambiente operativo real: </w:t>
      </w:r>
      <w:r w:rsidRPr="000328F3">
        <w:rPr>
          <w:rFonts w:asciiTheme="majorHAnsi" w:hAnsiTheme="majorHAnsi"/>
          <w:sz w:val="16"/>
          <w:szCs w:val="16"/>
        </w:rPr>
        <w:t>Pruebas y validaciones con usuarios reales y potenciales.</w:t>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r w:rsidRPr="000328F3">
        <w:rPr>
          <w:rFonts w:asciiTheme="majorHAnsi" w:hAnsiTheme="majorHAnsi"/>
          <w:sz w:val="16"/>
          <w:szCs w:val="16"/>
        </w:rPr>
        <w:tab/>
      </w:r>
    </w:p>
    <w:p w14:paraId="268646F8" w14:textId="77777777" w:rsidR="00797DE0" w:rsidRPr="00797DE0" w:rsidRDefault="00797DE0" w:rsidP="00971E76">
      <w:pPr>
        <w:jc w:val="center"/>
        <w:rPr>
          <w:b/>
          <w:bCs/>
          <w:color w:val="808080" w:themeColor="background1" w:themeShade="80"/>
          <w:sz w:val="22"/>
          <w:szCs w:val="22"/>
        </w:rPr>
      </w:pPr>
    </w:p>
    <w:sectPr w:rsidR="00797DE0" w:rsidRPr="00797DE0" w:rsidSect="00797DE0">
      <w:headerReference w:type="default" r:id="rId8"/>
      <w:pgSz w:w="12240" w:h="15840"/>
      <w:pgMar w:top="1702" w:right="900" w:bottom="1985"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8DF71" w14:textId="77777777" w:rsidR="00100027" w:rsidRDefault="00100027" w:rsidP="00797DE0">
      <w:r>
        <w:separator/>
      </w:r>
    </w:p>
  </w:endnote>
  <w:endnote w:type="continuationSeparator" w:id="0">
    <w:p w14:paraId="20E4E0CE" w14:textId="77777777" w:rsidR="00100027" w:rsidRDefault="00100027" w:rsidP="0079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0DF7" w14:textId="77777777" w:rsidR="00100027" w:rsidRDefault="00100027" w:rsidP="00797DE0">
      <w:r>
        <w:separator/>
      </w:r>
    </w:p>
  </w:footnote>
  <w:footnote w:type="continuationSeparator" w:id="0">
    <w:p w14:paraId="43F7B130" w14:textId="77777777" w:rsidR="00100027" w:rsidRDefault="00100027" w:rsidP="00797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876D0" w14:textId="77777777" w:rsidR="000659D2" w:rsidRDefault="00E236BE">
    <w:pPr>
      <w:pStyle w:val="Encabezado"/>
    </w:pPr>
    <w:r>
      <w:rPr>
        <w:noProof/>
        <w:lang w:val="es-MX" w:eastAsia="es-MX"/>
      </w:rPr>
      <w:drawing>
        <wp:anchor distT="0" distB="0" distL="114300" distR="114300" simplePos="0" relativeHeight="251659264" behindDoc="1" locked="0" layoutInCell="1" allowOverlap="1" wp14:anchorId="69410DD3" wp14:editId="7FBC38AE">
          <wp:simplePos x="0" y="0"/>
          <wp:positionH relativeFrom="column">
            <wp:posOffset>-710565</wp:posOffset>
          </wp:positionH>
          <wp:positionV relativeFrom="paragraph">
            <wp:posOffset>-783590</wp:posOffset>
          </wp:positionV>
          <wp:extent cx="7792720" cy="104394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Carta-CL.jpg"/>
                  <pic:cNvPicPr/>
                </pic:nvPicPr>
                <pic:blipFill>
                  <a:blip r:embed="rId1">
                    <a:extLst>
                      <a:ext uri="{28A0092B-C50C-407E-A947-70E740481C1C}">
                        <a14:useLocalDpi xmlns:a14="http://schemas.microsoft.com/office/drawing/2010/main" val="0"/>
                      </a:ext>
                    </a:extLst>
                  </a:blip>
                  <a:stretch>
                    <a:fillRect/>
                  </a:stretch>
                </pic:blipFill>
                <pic:spPr>
                  <a:xfrm>
                    <a:off x="0" y="0"/>
                    <a:ext cx="7792720" cy="104394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76"/>
    <w:rsid w:val="00100027"/>
    <w:rsid w:val="001235CF"/>
    <w:rsid w:val="002E7DF5"/>
    <w:rsid w:val="003E3A9A"/>
    <w:rsid w:val="005C179A"/>
    <w:rsid w:val="006D2472"/>
    <w:rsid w:val="00797DE0"/>
    <w:rsid w:val="00953F68"/>
    <w:rsid w:val="00971E76"/>
    <w:rsid w:val="00A850EA"/>
    <w:rsid w:val="00A922D1"/>
    <w:rsid w:val="00C81603"/>
    <w:rsid w:val="00CE2C71"/>
    <w:rsid w:val="00D12624"/>
    <w:rsid w:val="00E236BE"/>
    <w:rsid w:val="00E31D11"/>
    <w:rsid w:val="00E426A7"/>
    <w:rsid w:val="00F93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2475"/>
  <w15:chartTrackingRefBased/>
  <w15:docId w15:val="{F71C35E1-BFA0-43A6-8270-FE6AB443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E76"/>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1E76"/>
    <w:pPr>
      <w:tabs>
        <w:tab w:val="center" w:pos="4252"/>
        <w:tab w:val="right" w:pos="8504"/>
      </w:tabs>
    </w:pPr>
  </w:style>
  <w:style w:type="character" w:customStyle="1" w:styleId="EncabezadoCar">
    <w:name w:val="Encabezado Car"/>
    <w:basedOn w:val="Fuentedeprrafopredeter"/>
    <w:link w:val="Encabezado"/>
    <w:uiPriority w:val="99"/>
    <w:rsid w:val="00971E76"/>
    <w:rPr>
      <w:rFonts w:eastAsiaTheme="minorEastAsia"/>
      <w:sz w:val="24"/>
      <w:szCs w:val="24"/>
      <w:lang w:val="es-ES_tradnl" w:eastAsia="es-ES"/>
    </w:rPr>
  </w:style>
  <w:style w:type="character" w:customStyle="1" w:styleId="pseditboxdisponly">
    <w:name w:val="pseditbox_disponly"/>
    <w:rsid w:val="00971E76"/>
  </w:style>
  <w:style w:type="paragraph" w:styleId="Piedepgina">
    <w:name w:val="footer"/>
    <w:basedOn w:val="Normal"/>
    <w:link w:val="PiedepginaCar"/>
    <w:uiPriority w:val="99"/>
    <w:unhideWhenUsed/>
    <w:rsid w:val="00797DE0"/>
    <w:pPr>
      <w:tabs>
        <w:tab w:val="center" w:pos="4252"/>
        <w:tab w:val="right" w:pos="8504"/>
      </w:tabs>
    </w:pPr>
  </w:style>
  <w:style w:type="character" w:customStyle="1" w:styleId="PiedepginaCar">
    <w:name w:val="Pie de página Car"/>
    <w:basedOn w:val="Fuentedeprrafopredeter"/>
    <w:link w:val="Piedepgina"/>
    <w:uiPriority w:val="99"/>
    <w:rsid w:val="00797DE0"/>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1393">
      <w:bodyDiv w:val="1"/>
      <w:marLeft w:val="0"/>
      <w:marRight w:val="0"/>
      <w:marTop w:val="0"/>
      <w:marBottom w:val="0"/>
      <w:divBdr>
        <w:top w:val="none" w:sz="0" w:space="0" w:color="auto"/>
        <w:left w:val="none" w:sz="0" w:space="0" w:color="auto"/>
        <w:bottom w:val="none" w:sz="0" w:space="0" w:color="auto"/>
        <w:right w:val="none" w:sz="0" w:space="0" w:color="auto"/>
      </w:divBdr>
    </w:div>
    <w:div w:id="47387218">
      <w:bodyDiv w:val="1"/>
      <w:marLeft w:val="0"/>
      <w:marRight w:val="0"/>
      <w:marTop w:val="0"/>
      <w:marBottom w:val="0"/>
      <w:divBdr>
        <w:top w:val="none" w:sz="0" w:space="0" w:color="auto"/>
        <w:left w:val="none" w:sz="0" w:space="0" w:color="auto"/>
        <w:bottom w:val="none" w:sz="0" w:space="0" w:color="auto"/>
        <w:right w:val="none" w:sz="0" w:space="0" w:color="auto"/>
      </w:divBdr>
    </w:div>
    <w:div w:id="161168917">
      <w:bodyDiv w:val="1"/>
      <w:marLeft w:val="0"/>
      <w:marRight w:val="0"/>
      <w:marTop w:val="0"/>
      <w:marBottom w:val="0"/>
      <w:divBdr>
        <w:top w:val="none" w:sz="0" w:space="0" w:color="auto"/>
        <w:left w:val="none" w:sz="0" w:space="0" w:color="auto"/>
        <w:bottom w:val="none" w:sz="0" w:space="0" w:color="auto"/>
        <w:right w:val="none" w:sz="0" w:space="0" w:color="auto"/>
      </w:divBdr>
    </w:div>
    <w:div w:id="293873190">
      <w:bodyDiv w:val="1"/>
      <w:marLeft w:val="0"/>
      <w:marRight w:val="0"/>
      <w:marTop w:val="0"/>
      <w:marBottom w:val="0"/>
      <w:divBdr>
        <w:top w:val="none" w:sz="0" w:space="0" w:color="auto"/>
        <w:left w:val="none" w:sz="0" w:space="0" w:color="auto"/>
        <w:bottom w:val="none" w:sz="0" w:space="0" w:color="auto"/>
        <w:right w:val="none" w:sz="0" w:space="0" w:color="auto"/>
      </w:divBdr>
    </w:div>
    <w:div w:id="1330523602">
      <w:bodyDiv w:val="1"/>
      <w:marLeft w:val="0"/>
      <w:marRight w:val="0"/>
      <w:marTop w:val="0"/>
      <w:marBottom w:val="0"/>
      <w:divBdr>
        <w:top w:val="none" w:sz="0" w:space="0" w:color="auto"/>
        <w:left w:val="none" w:sz="0" w:space="0" w:color="auto"/>
        <w:bottom w:val="none" w:sz="0" w:space="0" w:color="auto"/>
        <w:right w:val="none" w:sz="0" w:space="0" w:color="auto"/>
      </w:divBdr>
    </w:div>
    <w:div w:id="14845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4030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nancy.lopez</dc:creator>
  <cp:keywords/>
  <dc:description/>
  <cp:lastModifiedBy>LTG 78</cp:lastModifiedBy>
  <cp:revision>2</cp:revision>
  <dcterms:created xsi:type="dcterms:W3CDTF">2020-04-23T18:50:00Z</dcterms:created>
  <dcterms:modified xsi:type="dcterms:W3CDTF">2020-04-23T18:50:00Z</dcterms:modified>
</cp:coreProperties>
</file>