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55866" w14:textId="77777777" w:rsidR="00164279" w:rsidRPr="00164279" w:rsidRDefault="00164279" w:rsidP="00164279">
      <w:pPr>
        <w:spacing w:before="100" w:beforeAutospacing="1" w:after="100" w:afterAutospacing="1" w:line="240" w:lineRule="auto"/>
        <w:outlineLvl w:val="2"/>
        <w:rPr>
          <w:rFonts w:ascii="Arial" w:eastAsia="Times New Roman" w:hAnsi="Arial" w:cs="Arial"/>
          <w:b/>
          <w:bCs/>
          <w:kern w:val="0"/>
          <w:lang w:eastAsia="es-MX"/>
          <w14:ligatures w14:val="none"/>
        </w:rPr>
      </w:pPr>
      <w:r w:rsidRPr="00164279">
        <w:rPr>
          <w:rFonts w:ascii="Arial" w:eastAsia="Times New Roman" w:hAnsi="Arial" w:cs="Arial"/>
          <w:b/>
          <w:bCs/>
          <w:kern w:val="0"/>
          <w:lang w:eastAsia="es-MX"/>
          <w14:ligatures w14:val="none"/>
        </w:rPr>
        <w:t>Análisis de estacionariedad, cointegración y correlogramas de las tasas de interés a 3 y 6 meses</w:t>
      </w:r>
    </w:p>
    <w:p w14:paraId="070D3054" w14:textId="77777777" w:rsidR="00164279" w:rsidRPr="00164279" w:rsidRDefault="00164279" w:rsidP="00164279">
      <w:pPr>
        <w:spacing w:before="100" w:beforeAutospacing="1" w:after="100" w:afterAutospacing="1" w:line="240" w:lineRule="auto"/>
        <w:rPr>
          <w:rFonts w:ascii="Arial" w:eastAsia="Times New Roman" w:hAnsi="Arial" w:cs="Arial"/>
          <w:kern w:val="0"/>
          <w:lang w:eastAsia="es-MX"/>
          <w14:ligatures w14:val="none"/>
        </w:rPr>
      </w:pPr>
      <w:r w:rsidRPr="00164279">
        <w:rPr>
          <w:rFonts w:ascii="Arial" w:eastAsia="Times New Roman" w:hAnsi="Arial" w:cs="Arial"/>
          <w:kern w:val="0"/>
          <w:lang w:eastAsia="es-MX"/>
          <w14:ligatures w14:val="none"/>
        </w:rPr>
        <w:t>Para evaluar el comportamiento estadístico de las tasas de interés a 3 y 6 meses, se realizaron pruebas de raíz unitaria, cointegración y análisis de correlogramas (ACF y PACF).</w:t>
      </w:r>
    </w:p>
    <w:p w14:paraId="2003AFE1" w14:textId="77777777" w:rsidR="00164279" w:rsidRPr="00164279" w:rsidRDefault="00164279" w:rsidP="00164279">
      <w:pPr>
        <w:spacing w:before="100" w:beforeAutospacing="1" w:after="100" w:afterAutospacing="1" w:line="240" w:lineRule="auto"/>
        <w:rPr>
          <w:rFonts w:ascii="Arial" w:eastAsia="Times New Roman" w:hAnsi="Arial" w:cs="Arial"/>
          <w:kern w:val="0"/>
          <w:lang w:eastAsia="es-MX"/>
          <w14:ligatures w14:val="none"/>
        </w:rPr>
      </w:pPr>
      <w:r w:rsidRPr="00164279">
        <w:rPr>
          <w:rFonts w:ascii="Arial" w:eastAsia="Times New Roman" w:hAnsi="Arial" w:cs="Arial"/>
          <w:b/>
          <w:bCs/>
          <w:kern w:val="0"/>
          <w:lang w:eastAsia="es-MX"/>
          <w14:ligatures w14:val="none"/>
        </w:rPr>
        <w:t>1. Pruebas de Raíz Unitaria</w:t>
      </w:r>
    </w:p>
    <w:p w14:paraId="487F0867" w14:textId="77777777" w:rsidR="00164279" w:rsidRPr="00164279" w:rsidRDefault="00164279" w:rsidP="00164279">
      <w:pPr>
        <w:spacing w:before="100" w:beforeAutospacing="1" w:after="100" w:afterAutospacing="1" w:line="240" w:lineRule="auto"/>
        <w:rPr>
          <w:rFonts w:ascii="Arial" w:eastAsia="Times New Roman" w:hAnsi="Arial" w:cs="Arial"/>
          <w:kern w:val="0"/>
          <w:lang w:eastAsia="es-MX"/>
          <w14:ligatures w14:val="none"/>
        </w:rPr>
      </w:pPr>
      <w:r w:rsidRPr="00164279">
        <w:rPr>
          <w:rFonts w:ascii="Arial" w:eastAsia="Times New Roman" w:hAnsi="Arial" w:cs="Arial"/>
          <w:kern w:val="0"/>
          <w:lang w:eastAsia="es-MX"/>
          <w14:ligatures w14:val="none"/>
        </w:rPr>
        <w:t>Los resultados de las pruebas ADF y KPSS indican que ambas series son no estacionarias en niveles.</w:t>
      </w:r>
      <w:r w:rsidRPr="00164279">
        <w:rPr>
          <w:rFonts w:ascii="Arial" w:eastAsia="Times New Roman" w:hAnsi="Arial" w:cs="Arial"/>
          <w:kern w:val="0"/>
          <w:lang w:eastAsia="es-MX"/>
          <w14:ligatures w14:val="none"/>
        </w:rPr>
        <w:br/>
        <w:t>En particular, el test ADF no rechaza la hipótesis nula de raíz unitaria (p-valor ≈ 0.51), mientras que el test KPSS rechaza la hipótesis de estacionariedad (p-valor ≈ 0.01). Esto confirma que las tasas presentan comportamiento I(1).</w:t>
      </w:r>
    </w:p>
    <w:p w14:paraId="4C724410" w14:textId="77777777" w:rsidR="00164279" w:rsidRPr="00164279" w:rsidRDefault="00164279" w:rsidP="00164279">
      <w:pPr>
        <w:spacing w:before="100" w:beforeAutospacing="1" w:after="100" w:afterAutospacing="1" w:line="240" w:lineRule="auto"/>
        <w:rPr>
          <w:rFonts w:ascii="Arial" w:eastAsia="Times New Roman" w:hAnsi="Arial" w:cs="Arial"/>
          <w:kern w:val="0"/>
          <w:lang w:eastAsia="es-MX"/>
          <w14:ligatures w14:val="none"/>
        </w:rPr>
      </w:pPr>
      <w:r w:rsidRPr="00164279">
        <w:rPr>
          <w:rFonts w:ascii="Arial" w:eastAsia="Times New Roman" w:hAnsi="Arial" w:cs="Arial"/>
          <w:kern w:val="0"/>
          <w:lang w:eastAsia="es-MX"/>
          <w14:ligatures w14:val="none"/>
        </w:rPr>
        <w:t>Este resultado es consistente con la teoría económica, ya que las tasas de interés de corto plazo suelen presentar persistencia y seguir procesos estocásticos en niveles.</w:t>
      </w:r>
    </w:p>
    <w:p w14:paraId="5322C640" w14:textId="3F3871DB" w:rsidR="00164279" w:rsidRPr="00164279" w:rsidRDefault="00164279" w:rsidP="00164279">
      <w:pPr>
        <w:spacing w:before="100" w:beforeAutospacing="1" w:after="100" w:afterAutospacing="1" w:line="240" w:lineRule="auto"/>
        <w:rPr>
          <w:rFonts w:ascii="Arial" w:eastAsia="Times New Roman" w:hAnsi="Arial" w:cs="Arial"/>
          <w:kern w:val="0"/>
          <w:lang w:eastAsia="es-MX"/>
          <w14:ligatures w14:val="none"/>
        </w:rPr>
      </w:pPr>
      <w:r w:rsidRPr="00164279">
        <w:rPr>
          <w:rFonts w:ascii="Arial" w:eastAsia="Times New Roman" w:hAnsi="Arial" w:cs="Arial"/>
          <w:b/>
          <w:bCs/>
          <w:kern w:val="0"/>
          <w:lang w:eastAsia="es-MX"/>
          <w14:ligatures w14:val="none"/>
        </w:rPr>
        <w:t>Conclusión:</w:t>
      </w:r>
      <w:r w:rsidRPr="00164279">
        <w:rPr>
          <w:rFonts w:ascii="Arial" w:eastAsia="Times New Roman" w:hAnsi="Arial" w:cs="Arial"/>
          <w:kern w:val="0"/>
          <w:lang w:eastAsia="es-MX"/>
          <w14:ligatures w14:val="none"/>
        </w:rPr>
        <w:t xml:space="preserve"> las tasas 3M y 6M son no estacionarias y requieren diferenciación para volverse estacionarias.</w:t>
      </w:r>
    </w:p>
    <w:p w14:paraId="781C64C8" w14:textId="77777777" w:rsidR="00164279" w:rsidRPr="00164279" w:rsidRDefault="00164279" w:rsidP="00164279">
      <w:pPr>
        <w:spacing w:before="100" w:beforeAutospacing="1" w:after="100" w:afterAutospacing="1" w:line="240" w:lineRule="auto"/>
        <w:rPr>
          <w:rFonts w:ascii="Arial" w:eastAsia="Times New Roman" w:hAnsi="Arial" w:cs="Arial"/>
          <w:kern w:val="0"/>
          <w:lang w:eastAsia="es-MX"/>
          <w14:ligatures w14:val="none"/>
        </w:rPr>
      </w:pPr>
      <w:r w:rsidRPr="00164279">
        <w:rPr>
          <w:rFonts w:ascii="Arial" w:eastAsia="Times New Roman" w:hAnsi="Arial" w:cs="Arial"/>
          <w:b/>
          <w:bCs/>
          <w:kern w:val="0"/>
          <w:lang w:eastAsia="es-MX"/>
          <w14:ligatures w14:val="none"/>
        </w:rPr>
        <w:t>2. Prueba de Cointegración</w:t>
      </w:r>
    </w:p>
    <w:p w14:paraId="74533D32" w14:textId="77777777" w:rsidR="00164279" w:rsidRPr="00164279" w:rsidRDefault="00164279" w:rsidP="00164279">
      <w:pPr>
        <w:spacing w:before="100" w:beforeAutospacing="1" w:after="100" w:afterAutospacing="1" w:line="240" w:lineRule="auto"/>
        <w:rPr>
          <w:rFonts w:ascii="Arial" w:eastAsia="Times New Roman" w:hAnsi="Arial" w:cs="Arial"/>
          <w:kern w:val="0"/>
          <w:lang w:eastAsia="es-MX"/>
          <w14:ligatures w14:val="none"/>
        </w:rPr>
      </w:pPr>
      <w:r w:rsidRPr="00164279">
        <w:rPr>
          <w:rFonts w:ascii="Arial" w:eastAsia="Times New Roman" w:hAnsi="Arial" w:cs="Arial"/>
          <w:kern w:val="0"/>
          <w:lang w:eastAsia="es-MX"/>
          <w14:ligatures w14:val="none"/>
        </w:rPr>
        <w:t>Se aplicó la prueba de Johansen para determinar si existe una relación de equilibrio de largo plazo entre ambas tasas. Los resultados muestran que el estadístico Trace supera los valores críticos al 95% para r = 0 y r = 1.</w:t>
      </w:r>
    </w:p>
    <w:p w14:paraId="385FA0A0" w14:textId="77777777" w:rsidR="00164279" w:rsidRPr="00164279" w:rsidRDefault="00164279" w:rsidP="00164279">
      <w:pPr>
        <w:spacing w:before="100" w:beforeAutospacing="1" w:after="100" w:afterAutospacing="1" w:line="240" w:lineRule="auto"/>
        <w:rPr>
          <w:rFonts w:ascii="Arial" w:eastAsia="Times New Roman" w:hAnsi="Arial" w:cs="Arial"/>
          <w:kern w:val="0"/>
          <w:lang w:eastAsia="es-MX"/>
          <w14:ligatures w14:val="none"/>
        </w:rPr>
      </w:pPr>
      <w:r w:rsidRPr="00164279">
        <w:rPr>
          <w:rFonts w:ascii="Arial" w:eastAsia="Times New Roman" w:hAnsi="Arial" w:cs="Arial"/>
          <w:kern w:val="0"/>
          <w:lang w:eastAsia="es-MX"/>
          <w14:ligatures w14:val="none"/>
        </w:rPr>
        <w:t>Esto significa que ambas series están cointegradas, por lo que, aunque son no estacionarias individualmente, mantienen un vínculo de equilibrio a largo plazo. Las desviaciones temporales tienden a corregirse con el paso del tiempo.</w:t>
      </w:r>
    </w:p>
    <w:p w14:paraId="0D907BD7" w14:textId="7AEB91D0" w:rsidR="00164279" w:rsidRPr="00164279" w:rsidRDefault="00164279" w:rsidP="00164279">
      <w:pPr>
        <w:spacing w:before="100" w:beforeAutospacing="1" w:after="100" w:afterAutospacing="1" w:line="240" w:lineRule="auto"/>
        <w:rPr>
          <w:rFonts w:ascii="Arial" w:eastAsia="Times New Roman" w:hAnsi="Arial" w:cs="Arial"/>
          <w:kern w:val="0"/>
          <w:lang w:eastAsia="es-MX"/>
          <w14:ligatures w14:val="none"/>
        </w:rPr>
      </w:pPr>
      <w:r w:rsidRPr="00164279">
        <w:rPr>
          <w:rFonts w:ascii="Arial" w:eastAsia="Times New Roman" w:hAnsi="Arial" w:cs="Arial"/>
          <w:b/>
          <w:bCs/>
          <w:kern w:val="0"/>
          <w:lang w:eastAsia="es-MX"/>
          <w14:ligatures w14:val="none"/>
        </w:rPr>
        <w:t>Interpretación económica:</w:t>
      </w:r>
      <w:r w:rsidRPr="00164279">
        <w:rPr>
          <w:rFonts w:ascii="Arial" w:eastAsia="Times New Roman" w:hAnsi="Arial" w:cs="Arial"/>
          <w:kern w:val="0"/>
          <w:lang w:eastAsia="es-MX"/>
          <w14:ligatures w14:val="none"/>
        </w:rPr>
        <w:t xml:space="preserve"> las tasas de corto plazo en distintas maturidades se mueven conjuntamente y reflejan expectativas comunes sobre las condiciones monetarias y financieras, lo cual es consistente con la teoría de la estructura temporal de tasas de interés.</w:t>
      </w:r>
    </w:p>
    <w:p w14:paraId="4AB92814" w14:textId="39780E97" w:rsidR="00164279" w:rsidRPr="00164279" w:rsidRDefault="00164279" w:rsidP="00164279">
      <w:pPr>
        <w:spacing w:before="100" w:beforeAutospacing="1" w:after="100" w:afterAutospacing="1" w:line="240" w:lineRule="auto"/>
        <w:rPr>
          <w:rFonts w:ascii="Arial" w:eastAsia="Times New Roman" w:hAnsi="Arial" w:cs="Arial"/>
          <w:kern w:val="0"/>
          <w:lang w:eastAsia="es-MX"/>
          <w14:ligatures w14:val="none"/>
        </w:rPr>
      </w:pPr>
      <w:r w:rsidRPr="00164279">
        <w:rPr>
          <w:rFonts w:ascii="Arial" w:eastAsia="Times New Roman" w:hAnsi="Arial" w:cs="Arial"/>
          <w:b/>
          <w:bCs/>
          <w:kern w:val="0"/>
          <w:lang w:eastAsia="es-MX"/>
          <w14:ligatures w14:val="none"/>
        </w:rPr>
        <w:t>3. Correlogramas (ACF y PACF)</w:t>
      </w:r>
    </w:p>
    <w:p w14:paraId="3C435D6F" w14:textId="77777777" w:rsidR="00164279" w:rsidRDefault="00164279" w:rsidP="00164279">
      <w:pPr>
        <w:spacing w:before="100" w:beforeAutospacing="1" w:after="100" w:afterAutospacing="1" w:line="240" w:lineRule="auto"/>
        <w:rPr>
          <w:rFonts w:ascii="Arial" w:eastAsia="Times New Roman" w:hAnsi="Arial" w:cs="Arial"/>
          <w:kern w:val="0"/>
          <w:lang w:eastAsia="es-MX"/>
          <w14:ligatures w14:val="none"/>
        </w:rPr>
      </w:pPr>
      <w:r w:rsidRPr="00164279">
        <w:rPr>
          <w:rFonts w:ascii="Arial" w:eastAsia="Times New Roman" w:hAnsi="Arial" w:cs="Arial"/>
          <w:kern w:val="0"/>
          <w:lang w:eastAsia="es-MX"/>
          <w14:ligatures w14:val="none"/>
        </w:rPr>
        <w:t>Los gráficos de autocorrelación y autocorrelación parcial muestran decaimiento lento en la ACF y patrones estructurados en la PACF, característicos de series financieras con persistencia temporal.</w:t>
      </w:r>
    </w:p>
    <w:p w14:paraId="21ED87BB" w14:textId="77777777" w:rsidR="00164279" w:rsidRPr="00164279" w:rsidRDefault="00164279" w:rsidP="00164279">
      <w:pPr>
        <w:spacing w:before="100" w:beforeAutospacing="1" w:after="100" w:afterAutospacing="1" w:line="240" w:lineRule="auto"/>
        <w:rPr>
          <w:rFonts w:ascii="Arial" w:eastAsia="Times New Roman" w:hAnsi="Arial" w:cs="Arial"/>
          <w:kern w:val="0"/>
          <w:lang w:eastAsia="es-MX"/>
          <w14:ligatures w14:val="none"/>
        </w:rPr>
      </w:pPr>
    </w:p>
    <w:p w14:paraId="4417756E" w14:textId="41C37110" w:rsidR="00164279" w:rsidRPr="00164279" w:rsidRDefault="00164279" w:rsidP="00164279">
      <w:pPr>
        <w:spacing w:before="100" w:beforeAutospacing="1" w:after="100" w:afterAutospacing="1" w:line="240" w:lineRule="auto"/>
        <w:rPr>
          <w:rFonts w:ascii="Arial" w:eastAsia="Times New Roman" w:hAnsi="Arial" w:cs="Arial"/>
          <w:kern w:val="0"/>
          <w:lang w:eastAsia="es-MX"/>
          <w14:ligatures w14:val="none"/>
        </w:rPr>
      </w:pPr>
      <w:r w:rsidRPr="00164279">
        <w:rPr>
          <w:rFonts w:ascii="Arial" w:eastAsia="Times New Roman" w:hAnsi="Arial" w:cs="Arial"/>
          <w:kern w:val="0"/>
          <w:lang w:eastAsia="es-MX"/>
          <w14:ligatures w14:val="none"/>
        </w:rPr>
        <w:lastRenderedPageBreak/>
        <w:t xml:space="preserve">Este comportamiento sugiere la presencia de componentes autoregresivos y valida el uso de modelos ARIMA en diferencias. Sin embargo, dado que las series están cointegradas, el modelo adecuado es un </w:t>
      </w:r>
      <w:r w:rsidRPr="00164279">
        <w:rPr>
          <w:rFonts w:ascii="Arial" w:eastAsia="Times New Roman" w:hAnsi="Arial" w:cs="Arial"/>
          <w:b/>
          <w:bCs/>
          <w:kern w:val="0"/>
          <w:lang w:eastAsia="es-MX"/>
          <w14:ligatures w14:val="none"/>
        </w:rPr>
        <w:t>VECM</w:t>
      </w:r>
      <w:r w:rsidRPr="00164279">
        <w:rPr>
          <w:rFonts w:ascii="Arial" w:eastAsia="Times New Roman" w:hAnsi="Arial" w:cs="Arial"/>
          <w:kern w:val="0"/>
          <w:lang w:eastAsia="es-MX"/>
          <w14:ligatures w14:val="none"/>
        </w:rPr>
        <w:t>, que permite capturar tanto las dinámicas de corto plazo como el ajuste hacia el equilibrio de largo plazo.</w:t>
      </w:r>
    </w:p>
    <w:p w14:paraId="5300DF31" w14:textId="77777777" w:rsidR="00164279" w:rsidRPr="00164279" w:rsidRDefault="00164279" w:rsidP="00164279">
      <w:pPr>
        <w:spacing w:before="100" w:beforeAutospacing="1" w:after="100" w:afterAutospacing="1" w:line="240" w:lineRule="auto"/>
        <w:outlineLvl w:val="2"/>
        <w:rPr>
          <w:rFonts w:ascii="Arial" w:eastAsia="Times New Roman" w:hAnsi="Arial" w:cs="Arial"/>
          <w:b/>
          <w:bCs/>
          <w:kern w:val="0"/>
          <w:lang w:eastAsia="es-MX"/>
          <w14:ligatures w14:val="none"/>
        </w:rPr>
      </w:pPr>
      <w:r w:rsidRPr="00164279">
        <w:rPr>
          <w:rFonts w:ascii="Arial" w:eastAsia="Times New Roman" w:hAnsi="Arial" w:cs="Arial"/>
          <w:b/>
          <w:bCs/>
          <w:kern w:val="0"/>
          <w:lang w:eastAsia="es-MX"/>
          <w14:ligatures w14:val="none"/>
        </w:rPr>
        <w:t>Conclusión General</w:t>
      </w:r>
    </w:p>
    <w:p w14:paraId="637F39A8" w14:textId="77777777" w:rsidR="00164279" w:rsidRPr="00164279" w:rsidRDefault="00164279" w:rsidP="00164279">
      <w:pPr>
        <w:numPr>
          <w:ilvl w:val="0"/>
          <w:numId w:val="1"/>
        </w:numPr>
        <w:spacing w:before="100" w:beforeAutospacing="1" w:after="100" w:afterAutospacing="1" w:line="240" w:lineRule="auto"/>
        <w:rPr>
          <w:rFonts w:ascii="Arial" w:eastAsia="Times New Roman" w:hAnsi="Arial" w:cs="Arial"/>
          <w:kern w:val="0"/>
          <w:lang w:eastAsia="es-MX"/>
          <w14:ligatures w14:val="none"/>
        </w:rPr>
      </w:pPr>
      <w:r w:rsidRPr="00164279">
        <w:rPr>
          <w:rFonts w:ascii="Arial" w:eastAsia="Times New Roman" w:hAnsi="Arial" w:cs="Arial"/>
          <w:kern w:val="0"/>
          <w:lang w:eastAsia="es-MX"/>
          <w14:ligatures w14:val="none"/>
        </w:rPr>
        <w:t xml:space="preserve">Las tasas 3M y 6M son </w:t>
      </w:r>
      <w:r w:rsidRPr="00164279">
        <w:rPr>
          <w:rFonts w:ascii="Arial" w:eastAsia="Times New Roman" w:hAnsi="Arial" w:cs="Arial"/>
          <w:b/>
          <w:bCs/>
          <w:kern w:val="0"/>
          <w:lang w:eastAsia="es-MX"/>
          <w14:ligatures w14:val="none"/>
        </w:rPr>
        <w:t>no estacionarias (I(1))</w:t>
      </w:r>
    </w:p>
    <w:p w14:paraId="22D3E096" w14:textId="77777777" w:rsidR="00164279" w:rsidRPr="00164279" w:rsidRDefault="00164279" w:rsidP="00164279">
      <w:pPr>
        <w:numPr>
          <w:ilvl w:val="0"/>
          <w:numId w:val="1"/>
        </w:numPr>
        <w:spacing w:before="100" w:beforeAutospacing="1" w:after="100" w:afterAutospacing="1" w:line="240" w:lineRule="auto"/>
        <w:rPr>
          <w:rFonts w:ascii="Arial" w:eastAsia="Times New Roman" w:hAnsi="Arial" w:cs="Arial"/>
          <w:kern w:val="0"/>
          <w:lang w:eastAsia="es-MX"/>
          <w14:ligatures w14:val="none"/>
        </w:rPr>
      </w:pPr>
      <w:r w:rsidRPr="00164279">
        <w:rPr>
          <w:rFonts w:ascii="Arial" w:eastAsia="Times New Roman" w:hAnsi="Arial" w:cs="Arial"/>
          <w:kern w:val="0"/>
          <w:lang w:eastAsia="es-MX"/>
          <w14:ligatures w14:val="none"/>
        </w:rPr>
        <w:t xml:space="preserve">Existe </w:t>
      </w:r>
      <w:r w:rsidRPr="00164279">
        <w:rPr>
          <w:rFonts w:ascii="Arial" w:eastAsia="Times New Roman" w:hAnsi="Arial" w:cs="Arial"/>
          <w:b/>
          <w:bCs/>
          <w:kern w:val="0"/>
          <w:lang w:eastAsia="es-MX"/>
          <w14:ligatures w14:val="none"/>
        </w:rPr>
        <w:t>cointegración</w:t>
      </w:r>
      <w:r w:rsidRPr="00164279">
        <w:rPr>
          <w:rFonts w:ascii="Arial" w:eastAsia="Times New Roman" w:hAnsi="Arial" w:cs="Arial"/>
          <w:kern w:val="0"/>
          <w:lang w:eastAsia="es-MX"/>
          <w14:ligatures w14:val="none"/>
        </w:rPr>
        <w:t>, lo que implica un equilibrio de largo plazo entre ambas</w:t>
      </w:r>
    </w:p>
    <w:p w14:paraId="355BAC51" w14:textId="77777777" w:rsidR="00164279" w:rsidRPr="00164279" w:rsidRDefault="00164279" w:rsidP="00164279">
      <w:pPr>
        <w:numPr>
          <w:ilvl w:val="0"/>
          <w:numId w:val="1"/>
        </w:numPr>
        <w:spacing w:before="100" w:beforeAutospacing="1" w:after="100" w:afterAutospacing="1" w:line="240" w:lineRule="auto"/>
        <w:rPr>
          <w:rFonts w:ascii="Arial" w:eastAsia="Times New Roman" w:hAnsi="Arial" w:cs="Arial"/>
          <w:kern w:val="0"/>
          <w:lang w:eastAsia="es-MX"/>
          <w14:ligatures w14:val="none"/>
        </w:rPr>
      </w:pPr>
      <w:r w:rsidRPr="00164279">
        <w:rPr>
          <w:rFonts w:ascii="Arial" w:eastAsia="Times New Roman" w:hAnsi="Arial" w:cs="Arial"/>
          <w:kern w:val="0"/>
          <w:lang w:eastAsia="es-MX"/>
          <w14:ligatures w14:val="none"/>
        </w:rPr>
        <w:t xml:space="preserve">Los correlogramas muestran </w:t>
      </w:r>
      <w:r w:rsidRPr="00164279">
        <w:rPr>
          <w:rFonts w:ascii="Arial" w:eastAsia="Times New Roman" w:hAnsi="Arial" w:cs="Arial"/>
          <w:b/>
          <w:bCs/>
          <w:kern w:val="0"/>
          <w:lang w:eastAsia="es-MX"/>
          <w14:ligatures w14:val="none"/>
        </w:rPr>
        <w:t>alta persistencia y estructura AR</w:t>
      </w:r>
    </w:p>
    <w:p w14:paraId="18EE6064" w14:textId="77777777" w:rsidR="00164279" w:rsidRPr="00164279" w:rsidRDefault="00164279" w:rsidP="00164279">
      <w:pPr>
        <w:numPr>
          <w:ilvl w:val="0"/>
          <w:numId w:val="1"/>
        </w:numPr>
        <w:spacing w:before="100" w:beforeAutospacing="1" w:after="100" w:afterAutospacing="1" w:line="240" w:lineRule="auto"/>
        <w:rPr>
          <w:rFonts w:ascii="Arial" w:eastAsia="Times New Roman" w:hAnsi="Arial" w:cs="Arial"/>
          <w:kern w:val="0"/>
          <w:lang w:eastAsia="es-MX"/>
          <w14:ligatures w14:val="none"/>
        </w:rPr>
      </w:pPr>
      <w:r w:rsidRPr="00164279">
        <w:rPr>
          <w:rFonts w:ascii="Arial" w:eastAsia="Times New Roman" w:hAnsi="Arial" w:cs="Arial"/>
          <w:kern w:val="0"/>
          <w:lang w:eastAsia="es-MX"/>
          <w14:ligatures w14:val="none"/>
        </w:rPr>
        <w:t xml:space="preserve">El modelo apropiado para su análisis dinámico es un </w:t>
      </w:r>
      <w:r w:rsidRPr="00164279">
        <w:rPr>
          <w:rFonts w:ascii="Arial" w:eastAsia="Times New Roman" w:hAnsi="Arial" w:cs="Arial"/>
          <w:b/>
          <w:bCs/>
          <w:kern w:val="0"/>
          <w:lang w:eastAsia="es-MX"/>
          <w14:ligatures w14:val="none"/>
        </w:rPr>
        <w:t>VECM</w:t>
      </w:r>
    </w:p>
    <w:p w14:paraId="0BF4A251" w14:textId="77777777" w:rsidR="00164279" w:rsidRPr="00164279" w:rsidRDefault="00164279" w:rsidP="00164279">
      <w:pPr>
        <w:spacing w:before="100" w:beforeAutospacing="1" w:after="100" w:afterAutospacing="1" w:line="240" w:lineRule="auto"/>
        <w:rPr>
          <w:rFonts w:ascii="Arial" w:eastAsia="Times New Roman" w:hAnsi="Arial" w:cs="Arial"/>
          <w:kern w:val="0"/>
          <w:lang w:eastAsia="es-MX"/>
          <w14:ligatures w14:val="none"/>
        </w:rPr>
      </w:pPr>
      <w:r w:rsidRPr="00164279">
        <w:rPr>
          <w:rFonts w:ascii="Arial" w:eastAsia="Times New Roman" w:hAnsi="Arial" w:cs="Arial"/>
          <w:kern w:val="0"/>
          <w:lang w:eastAsia="es-MX"/>
          <w14:ligatures w14:val="none"/>
        </w:rPr>
        <w:t>En términos económicos, las tasas de corto y mediano plazo en el mercado están integradas, por lo que los cambios en una de ellas se transmiten a la otra y ambas convergen hacia un nivel de equilibrio común, reflejando expectativas homogéneas y coherencia en la política monetaria y el funcionamiento del mercado financiero.</w:t>
      </w:r>
    </w:p>
    <w:p w14:paraId="31E5AA7B" w14:textId="77777777" w:rsidR="00030AE9" w:rsidRDefault="00030AE9"/>
    <w:sectPr w:rsidR="00030AE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45D36"/>
    <w:multiLevelType w:val="multilevel"/>
    <w:tmpl w:val="6942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549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279"/>
    <w:rsid w:val="00030AE9"/>
    <w:rsid w:val="00164279"/>
    <w:rsid w:val="0061061A"/>
    <w:rsid w:val="00C87AF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4F7B4"/>
  <w15:chartTrackingRefBased/>
  <w15:docId w15:val="{EB037338-B3E2-7244-89C3-DA565B20A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4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4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642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42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42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42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42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42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42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427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427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6427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427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427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42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42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42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4279"/>
    <w:rPr>
      <w:rFonts w:eastAsiaTheme="majorEastAsia" w:cstheme="majorBidi"/>
      <w:color w:val="272727" w:themeColor="text1" w:themeTint="D8"/>
    </w:rPr>
  </w:style>
  <w:style w:type="paragraph" w:styleId="Ttulo">
    <w:name w:val="Title"/>
    <w:basedOn w:val="Normal"/>
    <w:next w:val="Normal"/>
    <w:link w:val="TtuloCar"/>
    <w:uiPriority w:val="10"/>
    <w:qFormat/>
    <w:rsid w:val="00164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42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42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42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4279"/>
    <w:pPr>
      <w:spacing w:before="160"/>
      <w:jc w:val="center"/>
    </w:pPr>
    <w:rPr>
      <w:i/>
      <w:iCs/>
      <w:color w:val="404040" w:themeColor="text1" w:themeTint="BF"/>
    </w:rPr>
  </w:style>
  <w:style w:type="character" w:customStyle="1" w:styleId="CitaCar">
    <w:name w:val="Cita Car"/>
    <w:basedOn w:val="Fuentedeprrafopredeter"/>
    <w:link w:val="Cita"/>
    <w:uiPriority w:val="29"/>
    <w:rsid w:val="00164279"/>
    <w:rPr>
      <w:i/>
      <w:iCs/>
      <w:color w:val="404040" w:themeColor="text1" w:themeTint="BF"/>
    </w:rPr>
  </w:style>
  <w:style w:type="paragraph" w:styleId="Prrafodelista">
    <w:name w:val="List Paragraph"/>
    <w:basedOn w:val="Normal"/>
    <w:uiPriority w:val="34"/>
    <w:qFormat/>
    <w:rsid w:val="00164279"/>
    <w:pPr>
      <w:ind w:left="720"/>
      <w:contextualSpacing/>
    </w:pPr>
  </w:style>
  <w:style w:type="character" w:styleId="nfasisintenso">
    <w:name w:val="Intense Emphasis"/>
    <w:basedOn w:val="Fuentedeprrafopredeter"/>
    <w:uiPriority w:val="21"/>
    <w:qFormat/>
    <w:rsid w:val="00164279"/>
    <w:rPr>
      <w:i/>
      <w:iCs/>
      <w:color w:val="0F4761" w:themeColor="accent1" w:themeShade="BF"/>
    </w:rPr>
  </w:style>
  <w:style w:type="paragraph" w:styleId="Citadestacada">
    <w:name w:val="Intense Quote"/>
    <w:basedOn w:val="Normal"/>
    <w:next w:val="Normal"/>
    <w:link w:val="CitadestacadaCar"/>
    <w:uiPriority w:val="30"/>
    <w:qFormat/>
    <w:rsid w:val="00164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4279"/>
    <w:rPr>
      <w:i/>
      <w:iCs/>
      <w:color w:val="0F4761" w:themeColor="accent1" w:themeShade="BF"/>
    </w:rPr>
  </w:style>
  <w:style w:type="character" w:styleId="Referenciaintensa">
    <w:name w:val="Intense Reference"/>
    <w:basedOn w:val="Fuentedeprrafopredeter"/>
    <w:uiPriority w:val="32"/>
    <w:qFormat/>
    <w:rsid w:val="00164279"/>
    <w:rPr>
      <w:b/>
      <w:bCs/>
      <w:smallCaps/>
      <w:color w:val="0F4761" w:themeColor="accent1" w:themeShade="BF"/>
      <w:spacing w:val="5"/>
    </w:rPr>
  </w:style>
  <w:style w:type="character" w:styleId="Textoennegrita">
    <w:name w:val="Strong"/>
    <w:basedOn w:val="Fuentedeprrafopredeter"/>
    <w:uiPriority w:val="22"/>
    <w:qFormat/>
    <w:rsid w:val="00164279"/>
    <w:rPr>
      <w:b/>
      <w:bCs/>
    </w:rPr>
  </w:style>
  <w:style w:type="paragraph" w:styleId="NormalWeb">
    <w:name w:val="Normal (Web)"/>
    <w:basedOn w:val="Normal"/>
    <w:uiPriority w:val="99"/>
    <w:semiHidden/>
    <w:unhideWhenUsed/>
    <w:rsid w:val="00164279"/>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428</Words>
  <Characters>2358</Characters>
  <Application>Microsoft Office Word</Application>
  <DocSecurity>0</DocSecurity>
  <Lines>19</Lines>
  <Paragraphs>5</Paragraphs>
  <ScaleCrop>false</ScaleCrop>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Orlando Rodríguez Mendoza</dc:creator>
  <cp:keywords/>
  <dc:description/>
  <cp:lastModifiedBy>Diego Orlando Rodríguez Mendoza</cp:lastModifiedBy>
  <cp:revision>1</cp:revision>
  <dcterms:created xsi:type="dcterms:W3CDTF">2025-11-01T02:11:00Z</dcterms:created>
  <dcterms:modified xsi:type="dcterms:W3CDTF">2025-11-01T02:12:00Z</dcterms:modified>
</cp:coreProperties>
</file>