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7C7523" w14:textId="77777777" w:rsidR="00CD73F4" w:rsidRPr="00CD73F4" w:rsidRDefault="00CD73F4" w:rsidP="00CD73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Índice general propuesto</w:t>
      </w:r>
    </w:p>
    <w:p w14:paraId="4CA669B6" w14:textId="77777777" w:rsidR="00CD73F4" w:rsidRPr="00CD73F4" w:rsidRDefault="00CD73F4" w:rsidP="00CD73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Capítulo 1. Introducción</w:t>
      </w:r>
    </w:p>
    <w:p w14:paraId="273250D6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1.1. Contexto general de la espectroscopía y el análisis de datos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1.2. Problema de investigación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1.3. Justificación del estudio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1.4. Objetivo general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1.5. Objetivos específicos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1.6. Alcance y limitaciones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1.7. Organización del documento</w:t>
      </w:r>
    </w:p>
    <w:p w14:paraId="5053D824" w14:textId="77777777" w:rsidR="00CD73F4" w:rsidRPr="00CD73F4" w:rsidRDefault="00AF7CF1" w:rsidP="00CD73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7ADA86B3">
          <v:rect id="_x0000_i1025" style="width:0;height:1.5pt" o:hralign="center" o:hrstd="t" o:hr="t" fillcolor="#a0a0a0" stroked="f"/>
        </w:pict>
      </w:r>
    </w:p>
    <w:p w14:paraId="3B97B1F9" w14:textId="77777777" w:rsidR="00CD73F4" w:rsidRPr="00CD73F4" w:rsidRDefault="00CD73F4" w:rsidP="00CD73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Capítulo 2. Marco teórico</w:t>
      </w:r>
    </w:p>
    <w:p w14:paraId="45936F94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2.1. Espectroscopía y sus aplicaciones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2.1.1. Conceptos básicos de espectroscopía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2.1.2. Interacción radiación–materia</w:t>
      </w:r>
    </w:p>
    <w:p w14:paraId="442C5D9A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2.2. Espectroscopía FTIR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2.2.1. Principios de FTIR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2.2.2. Interpretación de espectros FTIR</w:t>
      </w:r>
    </w:p>
    <w:p w14:paraId="750FB8CE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2.3. Espectroscopía Raman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2.3.1. Principios del efecto Raman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2.3.2. Ventajas y limitaciones</w:t>
      </w:r>
    </w:p>
    <w:p w14:paraId="7731AB32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2.4. Espectroscopía NIR </w:t>
      </w:r>
      <w:r w:rsidRPr="00CD73F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s-MX"/>
          <w14:ligatures w14:val="none"/>
        </w:rPr>
        <w:t>(si la incluyes, ej. leche en polvo AN-NIR-128)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2.4.1. Fundamentos de NIR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2.4.2. Aplicaciones en la industria (ej. leche en polvo, humedad, grasa, etc.)</w:t>
      </w:r>
    </w:p>
    <w:p w14:paraId="4781A0D0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2.5. Preprocesamiento de espectros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2.5.1. Corrección de línea base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2.5.2. Suavizado y derivadas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2.5.3. Normalización y escalado</w:t>
      </w:r>
    </w:p>
    <w:p w14:paraId="53032AF2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2.6. Análisis multivariante y quimiometría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2.6.1. PCA y exploración de datos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2.6.2. Métodos de clasificación (KNN, PLS-DA, otros que uses)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2.6.3. Métricas de desempeño (exactitud, matrices de confusión, etc.)</w:t>
      </w:r>
    </w:p>
    <w:p w14:paraId="3B936885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2.7. Fusión de datos (Data Fusion)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2.7.1. Conceptos generales de data fusion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2.7.2. Fusión de bajo nivel (Low-Level Data Fusion)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2.7.3. Fusión de nivel intermedio y alto (si las mencionas)</w:t>
      </w:r>
    </w:p>
    <w:p w14:paraId="211D91A8" w14:textId="77777777" w:rsidR="00CD73F4" w:rsidRPr="00CD73F4" w:rsidRDefault="00AF7CF1" w:rsidP="00CD73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lastRenderedPageBreak/>
        <w:pict w14:anchorId="2C6E83A1">
          <v:rect id="_x0000_i1026" style="width:0;height:1.5pt" o:hralign="center" o:hrstd="t" o:hr="t" fillcolor="#a0a0a0" stroked="f"/>
        </w:pict>
      </w:r>
    </w:p>
    <w:p w14:paraId="06699D9F" w14:textId="77777777" w:rsidR="00CD73F4" w:rsidRPr="00CD73F4" w:rsidRDefault="00CD73F4" w:rsidP="00CD73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Capítulo 3. Estado del arte y trabajos relacionados</w:t>
      </w:r>
    </w:p>
    <w:p w14:paraId="1CD08A19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3.1. Uso de FTIR, Raman y NIR en análisis de productos farmacéuticos / alimentos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3.2. Aplicaciones de data fusion en espectroscopía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3.3. Desarrollo de herramientas de software para análisis espectroscópico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3.4. Síntesis crítica de la literatura y brechas identificadas</w:t>
      </w:r>
    </w:p>
    <w:p w14:paraId="074E9071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s-MX"/>
          <w14:ligatures w14:val="none"/>
        </w:rPr>
        <w:t>(Si ya mezclaste teoría + estado del arte, este capítulo se puede fusionar con el 2 como “Marco teórico y estado del arte”).</w:t>
      </w:r>
    </w:p>
    <w:p w14:paraId="6C07EABB" w14:textId="77777777" w:rsidR="00CD73F4" w:rsidRPr="00CD73F4" w:rsidRDefault="00AF7CF1" w:rsidP="00CD73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26BC820B">
          <v:rect id="_x0000_i1027" style="width:0;height:1.5pt" o:hralign="center" o:hrstd="t" o:hr="t" fillcolor="#a0a0a0" stroked="f"/>
        </w:pict>
      </w:r>
    </w:p>
    <w:p w14:paraId="06C5042B" w14:textId="77777777" w:rsidR="00CD73F4" w:rsidRPr="00CD73F4" w:rsidRDefault="00CD73F4" w:rsidP="00CD73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Capítulo 4. Materiales y metodología</w:t>
      </w:r>
    </w:p>
    <w:p w14:paraId="4F3D9F64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4.1. Descripción de las muestras y datasets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4.1.1. Conjunto de datos FTIR (ej. analgésicos / muestras que uses)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4.1.2. Conjunto de datos Raman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4.1.3. Conjunto de datos NIR (ej. leche en polvo, si entra)</w:t>
      </w:r>
    </w:p>
    <w:p w14:paraId="0A189AE5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4.2. Equipos e instrumentación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4.2.1. Espectrómetro FTIR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4.2.2. Espectrómetro Raman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4.2.3. Analizador NIR (OMNIS u otro)</w:t>
      </w:r>
    </w:p>
    <w:p w14:paraId="6CFAF551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4.3. Herramientas de software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4.3.1. Lenguaje de programación y librerías (Python, NumPy, SciPy, scikit-learn…)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4.3.2. Entorno de desarrollo y control de versiones (si mencionas Git, etc.)</w:t>
      </w:r>
    </w:p>
    <w:p w14:paraId="72A2121E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4.4. Procedimiento de preprocesamiento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4.4.1. Flujo aplicado a FTIR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4.4.2. Flujo aplicado a Raman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4.4.3. Flujo aplicado a NIR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4.4.4. Preprocesamiento para fusión de datos (alineamiento, interpolación, escalado de bloques)</w:t>
      </w:r>
    </w:p>
    <w:p w14:paraId="4E9E061A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4.5. Construcción de modelos y validación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4.5.1. Modelos individuales por técnica (solo FTIR, solo Raman, etc.)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4.5.2. Modelos con datos fusionados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4.5.3. Estrategia de validación (train/test, cross-validation, etc.)</w:t>
      </w:r>
    </w:p>
    <w:p w14:paraId="1F5D015E" w14:textId="77777777" w:rsidR="00CD73F4" w:rsidRPr="00CD73F4" w:rsidRDefault="00AF7CF1" w:rsidP="00CD73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28D5AF92">
          <v:rect id="_x0000_i1028" style="width:0;height:1.5pt" o:hralign="center" o:hrstd="t" o:hr="t" fillcolor="#a0a0a0" stroked="f"/>
        </w:pict>
      </w:r>
    </w:p>
    <w:p w14:paraId="4E0A3888" w14:textId="77777777" w:rsidR="00CD73F4" w:rsidRPr="00CD73F4" w:rsidRDefault="00CD73F4" w:rsidP="00CD73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 xml:space="preserve">Capítulo 5. Diseño e implementación de EspectroApp </w:t>
      </w:r>
      <w:r w:rsidRPr="00CD73F4">
        <w:rPr>
          <w:rFonts w:ascii="Times New Roman" w:eastAsia="Times New Roman" w:hAnsi="Times New Roman" w:cs="Times New Roman"/>
          <w:b/>
          <w:bCs/>
          <w:i/>
          <w:iCs/>
          <w:kern w:val="0"/>
          <w:sz w:val="27"/>
          <w:szCs w:val="27"/>
          <w:lang w:eastAsia="es-MX"/>
          <w14:ligatures w14:val="none"/>
        </w:rPr>
        <w:t>(si tu tesis incluye formalmente el sistema)</w:t>
      </w:r>
    </w:p>
    <w:p w14:paraId="79279AE3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lastRenderedPageBreak/>
        <w:t>5.1. Requisitos funcionales y no funcionales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5.2. Arquitectura del sistema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5.3. Módulos principales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5.3.1. Módulo de carga y gestión de espectros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5.3.2. Módulo de preprocesamiento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5.3.3. Módulo de análisis multivariante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5.3.4. Módulo de fusión de datos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5.4. Interfaz gráfica de usuario (GUI)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5.5. Pruebas de funcionamiento del sistema</w:t>
      </w:r>
    </w:p>
    <w:p w14:paraId="7F6DDC5D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s-MX"/>
          <w14:ligatures w14:val="none"/>
        </w:rPr>
        <w:t>(Si tu tribunal no exige un capítulo de software separado, parte de esto puede ir en el capítulo de metodología.)</w:t>
      </w:r>
    </w:p>
    <w:p w14:paraId="34ABDD30" w14:textId="77777777" w:rsidR="00CD73F4" w:rsidRPr="00CD73F4" w:rsidRDefault="00AF7CF1" w:rsidP="00CD73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28BD4A22">
          <v:rect id="_x0000_i1029" style="width:0;height:1.5pt" o:hralign="center" o:hrstd="t" o:hr="t" fillcolor="#a0a0a0" stroked="f"/>
        </w:pict>
      </w:r>
    </w:p>
    <w:p w14:paraId="40514897" w14:textId="77777777" w:rsidR="00CD73F4" w:rsidRPr="00CD73F4" w:rsidRDefault="00CD73F4" w:rsidP="00CD73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Capítulo 6. Resultados y discusión</w:t>
      </w:r>
    </w:p>
    <w:p w14:paraId="095A8DA5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6.1. Resultados con espectros individuales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6.1.1. FTIR: resultados de PCA / modelos de clasificación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6.1.2. Raman: resultados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6.1.3. NIR: resultados (ej. calibración de humedad, grasa, etc.)</w:t>
      </w:r>
    </w:p>
    <w:p w14:paraId="71F89CAC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6.2. Resultados de la fusión de datos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6.2.1. Construcción de la matriz fusionada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6.2.2. Resultados de PCA/PLS/KNN sobre datos fusionados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6.2.3. Comparación del desempeño vs. técnicas individuales</w:t>
      </w:r>
    </w:p>
    <w:p w14:paraId="699F795A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6.3. Discusión de resultados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6.3.1. Ventajas y limitaciones del enfoque propuesto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6.3.2. Análisis crítico de la mejora (o no) al aplicar data fusion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  6.3.3. Implicaciones para aplicaciones reales (control de calidad, etc.)</w:t>
      </w:r>
    </w:p>
    <w:p w14:paraId="25FF701A" w14:textId="77777777" w:rsidR="00CD73F4" w:rsidRPr="00CD73F4" w:rsidRDefault="00AF7CF1" w:rsidP="00CD73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00D1C8E1">
          <v:rect id="_x0000_i1030" style="width:0;height:1.5pt" o:hralign="center" o:hrstd="t" o:hr="t" fillcolor="#a0a0a0" stroked="f"/>
        </w:pict>
      </w:r>
    </w:p>
    <w:p w14:paraId="537C5954" w14:textId="77777777" w:rsidR="00CD73F4" w:rsidRPr="00CD73F4" w:rsidRDefault="00CD73F4" w:rsidP="00CD73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Capítulo 7. Conclusiones y trabajos futuros</w:t>
      </w:r>
    </w:p>
    <w:p w14:paraId="647BDB15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7.1. Conclusiones generales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7.2. Contribuciones del trabajo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7.3. Limitaciones del estudio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7.4. Recomendaciones y trabajos futuros</w:t>
      </w:r>
    </w:p>
    <w:p w14:paraId="7E90A039" w14:textId="77777777" w:rsidR="00CD73F4" w:rsidRPr="00CD73F4" w:rsidRDefault="00AF7CF1" w:rsidP="00CD73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0B142101">
          <v:rect id="_x0000_i1031" style="width:0;height:1.5pt" o:hralign="center" o:hrstd="t" o:hr="t" fillcolor="#a0a0a0" stroked="f"/>
        </w:pict>
      </w:r>
    </w:p>
    <w:p w14:paraId="0D5FA49E" w14:textId="77777777" w:rsidR="00CD73F4" w:rsidRPr="00CD73F4" w:rsidRDefault="00CD73F4" w:rsidP="00CD73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Referencias bibliográficas</w:t>
      </w:r>
    </w:p>
    <w:p w14:paraId="293B0942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s-MX"/>
          <w14:ligatures w14:val="none"/>
        </w:rPr>
        <w:t>(Gestionadas con BibLaTeX/Biber como ya estás usando.)</w:t>
      </w:r>
    </w:p>
    <w:p w14:paraId="58DEE3DE" w14:textId="77777777" w:rsidR="00CD73F4" w:rsidRPr="00CD73F4" w:rsidRDefault="00AF7CF1" w:rsidP="00CD73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lastRenderedPageBreak/>
        <w:pict w14:anchorId="1E42DEDC">
          <v:rect id="_x0000_i1032" style="width:0;height:1.5pt" o:hralign="center" o:hrstd="t" o:hr="t" fillcolor="#a0a0a0" stroked="f"/>
        </w:pict>
      </w:r>
    </w:p>
    <w:p w14:paraId="79D8B302" w14:textId="77777777" w:rsidR="00CD73F4" w:rsidRPr="00CD73F4" w:rsidRDefault="00CD73F4" w:rsidP="00CD73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Anexos</w:t>
      </w:r>
    </w:p>
    <w:p w14:paraId="09583B22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A. Tablas extendidas de resultados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B. Fragmentos de código relevantes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C. Especificaciones técnicas de equipos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D. Interfaces adicionales de EspectroApp</w:t>
      </w:r>
    </w:p>
    <w:p w14:paraId="18E12DF1" w14:textId="77777777" w:rsidR="00CD73F4" w:rsidRPr="00CD73F4" w:rsidRDefault="00AF7CF1" w:rsidP="00CD73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066C6572">
          <v:rect id="_x0000_i1033" style="width:0;height:1.5pt" o:hralign="center" o:hrstd="t" o:hr="t" fillcolor="#a0a0a0" stroked="f"/>
        </w:pict>
      </w:r>
    </w:p>
    <w:p w14:paraId="11AC3EEF" w14:textId="77777777" w:rsidR="00CD73F4" w:rsidRPr="00CD73F4" w:rsidRDefault="00CD73F4" w:rsidP="00CD7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Si quieres, en el próximo mensaje puedo:</w:t>
      </w:r>
    </w:p>
    <w:p w14:paraId="17F71C23" w14:textId="77777777" w:rsidR="00CD73F4" w:rsidRPr="00CD73F4" w:rsidRDefault="00CD73F4" w:rsidP="00CD73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Adaptar este índice a tu </w:t>
      </w:r>
      <w:r w:rsidRPr="00CD73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estructura de capítulos real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(por ejemplo, si ya tienes Capítulo 1 y 2 escritos me dices los títulos y lo ajusto), o</w:t>
      </w:r>
    </w:p>
    <w:p w14:paraId="7DFF1EDD" w14:textId="77777777" w:rsidR="00CD73F4" w:rsidRPr="00CD73F4" w:rsidRDefault="00CD73F4" w:rsidP="00CD73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Pasártelo directamente como </w:t>
      </w:r>
      <w:r w:rsidRPr="00CD73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código LaTeX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con </w:t>
      </w:r>
      <w:r w:rsidRPr="00CD73F4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\chapter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, </w:t>
      </w:r>
      <w:r w:rsidRPr="00CD73F4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\section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y </w:t>
      </w:r>
      <w:r w:rsidRPr="00CD73F4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\subsection</w:t>
      </w:r>
      <w:r w:rsidRPr="00CD73F4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listo para pegar en tu .tex.</w:t>
      </w:r>
    </w:p>
    <w:p w14:paraId="753E84DB" w14:textId="77777777" w:rsidR="00CD73F4" w:rsidRDefault="00CD73F4">
      <w:pPr>
        <w:rPr>
          <w:u w:val="single"/>
        </w:rPr>
      </w:pPr>
    </w:p>
    <w:p w14:paraId="069BE4F1" w14:textId="77777777" w:rsidR="00B804BD" w:rsidRDefault="00B804BD">
      <w:pPr>
        <w:rPr>
          <w:u w:val="single"/>
        </w:rPr>
      </w:pPr>
    </w:p>
    <w:p w14:paraId="20C8B55A" w14:textId="2696967D" w:rsidR="00B804BD" w:rsidRDefault="00B804BD">
      <w:pPr>
        <w:rPr>
          <w:u w:val="single"/>
        </w:rPr>
      </w:pPr>
      <w:r>
        <w:rPr>
          <w:u w:val="single"/>
        </w:rPr>
        <w:t>Hablar sobre PCA</w:t>
      </w:r>
    </w:p>
    <w:p w14:paraId="1E0D61F4" w14:textId="77777777" w:rsidR="00B804BD" w:rsidRPr="00B804BD" w:rsidRDefault="00B804BD" w:rsidP="00B804B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Qué decir:</w:t>
      </w:r>
    </w:p>
    <w:p w14:paraId="02739666" w14:textId="77777777" w:rsidR="00B804BD" w:rsidRPr="00B804BD" w:rsidRDefault="00B804BD" w:rsidP="00B804BD">
      <w:pPr>
        <w:numPr>
          <w:ilvl w:val="1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Explica que un espectro (Raman o FTIR) no es un solo dato, sino miles (por ejemplo, si mides de 400 a 4000 cm⁻¹, tienes miles de puntos de intensidad).</w:t>
      </w:r>
    </w:p>
    <w:p w14:paraId="275D88D8" w14:textId="77777777" w:rsidR="00B804BD" w:rsidRPr="00B804BD" w:rsidRDefault="00B804BD" w:rsidP="00B804BD">
      <w:pPr>
        <w:numPr>
          <w:ilvl w:val="1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Cada número de onda (wavenumber) actúa como una "variable".</w:t>
      </w:r>
    </w:p>
    <w:p w14:paraId="4A578C61" w14:textId="77777777" w:rsidR="00B804BD" w:rsidRPr="00B804BD" w:rsidRDefault="00B804BD" w:rsidP="00B804BD">
      <w:pPr>
        <w:numPr>
          <w:ilvl w:val="1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Analizar "a ojo" diferencias sutiles entre cientos de espectros es imposible y subjetivo.</w:t>
      </w:r>
    </w:p>
    <w:p w14:paraId="1BB141C7" w14:textId="77777777" w:rsidR="00B804BD" w:rsidRPr="00B804BD" w:rsidRDefault="00B804BD" w:rsidP="00B804BD">
      <w:pPr>
        <w:numPr>
          <w:ilvl w:val="1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Frase clave:</w:t>
      </w: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 "La naturaleza multivariante de los datos espectrales requiere métodos de reducción de dimensionalidad."</w:t>
      </w:r>
    </w:p>
    <w:p w14:paraId="7A352F47" w14:textId="77777777" w:rsidR="00B804BD" w:rsidRPr="00B804BD" w:rsidRDefault="00B804BD" w:rsidP="00B804B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s-MX"/>
          <w14:ligatures w14:val="none"/>
        </w:rPr>
        <w:t>2. Pre-procesamiento de Datos (Crucial en Raman/FTIR)</w:t>
      </w:r>
    </w:p>
    <w:p w14:paraId="6563BBA4" w14:textId="77777777" w:rsidR="00B804BD" w:rsidRPr="00B804BD" w:rsidRDefault="00B804BD" w:rsidP="00B804B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PCA es muy sensible al "ruido". Si no limpias la señal, el PCA analizará el ruido en lugar de la química.</w:t>
      </w:r>
    </w:p>
    <w:p w14:paraId="3E225E5E" w14:textId="77777777" w:rsidR="00B804BD" w:rsidRPr="00B804BD" w:rsidRDefault="00B804BD" w:rsidP="00B804B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Qué decir:</w:t>
      </w:r>
    </w:p>
    <w:p w14:paraId="478B032E" w14:textId="77777777" w:rsidR="00B804BD" w:rsidRPr="00B804BD" w:rsidRDefault="00B804BD" w:rsidP="00B804BD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Menciona que los datos crudos (raw data) casi nunca se usan directamente.</w:t>
      </w:r>
    </w:p>
    <w:p w14:paraId="3B05DD0B" w14:textId="77777777" w:rsidR="00B804BD" w:rsidRPr="00B804BD" w:rsidRDefault="00B804BD" w:rsidP="00B804BD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lastRenderedPageBreak/>
        <w:t>Línea base (Baseline correction):</w:t>
      </w: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 Especialmente en Raman (para quitar fluorescencia).</w:t>
      </w:r>
    </w:p>
    <w:p w14:paraId="6AFDC6F6" w14:textId="77777777" w:rsidR="00B804BD" w:rsidRPr="00B804BD" w:rsidRDefault="00B804BD" w:rsidP="00B804BD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Suavizado (Smoothing):</w:t>
      </w: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 Como Savitzky-Golay, para reducir ruido aleatorio.</w:t>
      </w:r>
    </w:p>
    <w:p w14:paraId="24C6AEA6" w14:textId="77777777" w:rsidR="00B804BD" w:rsidRPr="00B804BD" w:rsidRDefault="00B804BD" w:rsidP="00B804BD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Normalización:</w:t>
      </w: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 Para que las diferencias en intensidad no sean por la potencia del láser o la cantidad de muestra, sino por la composición química.</w:t>
      </w:r>
    </w:p>
    <w:p w14:paraId="7526E3B4" w14:textId="77777777" w:rsidR="00B804BD" w:rsidRPr="00B804BD" w:rsidRDefault="00B804BD" w:rsidP="00B804B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s-MX"/>
          <w14:ligatures w14:val="none"/>
        </w:rPr>
        <w:t>3. Qué es PCA (Conceptualmente)</w:t>
      </w:r>
    </w:p>
    <w:p w14:paraId="6FFA6294" w14:textId="77777777" w:rsidR="00B804BD" w:rsidRPr="00B804BD" w:rsidRDefault="00B804BD" w:rsidP="00B804B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Aquí entras en la definición técnica pero accesible.</w:t>
      </w:r>
    </w:p>
    <w:p w14:paraId="73A4C112" w14:textId="77777777" w:rsidR="00B804BD" w:rsidRPr="00B804BD" w:rsidRDefault="00B804BD" w:rsidP="00B804B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Qué decir:</w:t>
      </w:r>
    </w:p>
    <w:p w14:paraId="128FD2BE" w14:textId="77777777" w:rsidR="00B804BD" w:rsidRPr="00B804BD" w:rsidRDefault="00B804BD" w:rsidP="00B804BD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Defínelo como una técnica </w:t>
      </w: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no supervisada</w:t>
      </w: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 (no le dices al algoritmo qué es cada muestra, él encuentra patrones por sí solo).</w:t>
      </w:r>
    </w:p>
    <w:p w14:paraId="32947899" w14:textId="77777777" w:rsidR="00B804BD" w:rsidRPr="00B804BD" w:rsidRDefault="00B804BD" w:rsidP="00B804BD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El objetivo es reducir la complejidad: pasar de miles de variables (números de onda) a unas pocas nuevas variables llamadas </w:t>
      </w: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Componentes Principales (PCs)</w:t>
      </w: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.</w:t>
      </w:r>
    </w:p>
    <w:p w14:paraId="04E35A8E" w14:textId="77777777" w:rsidR="00B804BD" w:rsidRPr="00B804BD" w:rsidRDefault="00B804BD" w:rsidP="00B804BD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Explica que el PCA busca la dirección de </w:t>
      </w: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máxima varianza</w:t>
      </w: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. Es decir, ¿en qué se diferencian más mis muestras entre sí?</w:t>
      </w:r>
    </w:p>
    <w:p w14:paraId="2115AC51" w14:textId="77777777" w:rsidR="00B804BD" w:rsidRPr="00B804BD" w:rsidRDefault="00B804BD" w:rsidP="00B804B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s-MX"/>
          <w14:ligatures w14:val="none"/>
        </w:rPr>
        <w:t>4. La Matemática "Light" (Transformación Ortogonal)</w:t>
      </w:r>
    </w:p>
    <w:p w14:paraId="578051C7" w14:textId="77777777" w:rsidR="00B804BD" w:rsidRPr="00B804BD" w:rsidRDefault="00B804BD" w:rsidP="00B804B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No necesitas poner todas las ecuaciones matriciales al principio, pero sí explicar la lógica.</w:t>
      </w:r>
    </w:p>
    <w:p w14:paraId="70CE1B87" w14:textId="77777777" w:rsidR="00B804BD" w:rsidRPr="00B804BD" w:rsidRDefault="00B804BD" w:rsidP="00B804BD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Qué decir:</w:t>
      </w:r>
    </w:p>
    <w:p w14:paraId="2E02FAE3" w14:textId="77777777" w:rsidR="00B804BD" w:rsidRPr="00B804BD" w:rsidRDefault="00B804BD" w:rsidP="00B804BD">
      <w:pPr>
        <w:numPr>
          <w:ilvl w:val="1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El PCA rota los ejes originales para crear nuevos ejes ortogonales (perpendiculares).</w:t>
      </w:r>
    </w:p>
    <w:p w14:paraId="435F9F38" w14:textId="77777777" w:rsidR="00B804BD" w:rsidRPr="00B804BD" w:rsidRDefault="00B804BD" w:rsidP="00B804BD">
      <w:pPr>
        <w:numPr>
          <w:ilvl w:val="1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PC1 (Componente Principal 1):</w:t>
      </w: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 Contiene la mayor parte de la información (varianza) del sistema (ej. 70-80%).</w:t>
      </w:r>
    </w:p>
    <w:p w14:paraId="466C0F7E" w14:textId="77777777" w:rsidR="00B804BD" w:rsidRPr="00B804BD" w:rsidRDefault="00B804BD" w:rsidP="00B804BD">
      <w:pPr>
        <w:numPr>
          <w:ilvl w:val="1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PC2:</w:t>
      </w: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 Contiene la segunda mayor fuente de variación que no explicó el PC1, y así sucesivamente.</w:t>
      </w:r>
    </w:p>
    <w:p w14:paraId="3A9B410C" w14:textId="77777777" w:rsidR="00B804BD" w:rsidRPr="00B804BD" w:rsidRDefault="00B804BD" w:rsidP="00B804BD">
      <w:pPr>
        <w:numPr>
          <w:ilvl w:val="1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Esto permite explicar el 95% de lo que pasa en tu experimento con solo 2 o 3 gráficos, en lugar de miles.</w:t>
      </w:r>
    </w:p>
    <w:p w14:paraId="711B2EE4" w14:textId="77777777" w:rsidR="00B804BD" w:rsidRPr="00B804BD" w:rsidRDefault="00B804BD" w:rsidP="00B804B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s-MX"/>
          <w14:ligatures w14:val="none"/>
        </w:rPr>
        <w:lastRenderedPageBreak/>
        <w:t>5. Interpretación: Scores vs. Loadings (El corazón del análisis)</w:t>
      </w:r>
    </w:p>
    <w:p w14:paraId="3AE2D03F" w14:textId="77777777" w:rsidR="00B804BD" w:rsidRPr="00B804BD" w:rsidRDefault="00B804BD" w:rsidP="00B804B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Esta es la parte más importante para tu discusión de resultados más adelante. Debes definir estos dos términos claramente.</w:t>
      </w:r>
    </w:p>
    <w:p w14:paraId="2A5BDEA0" w14:textId="77777777" w:rsidR="00B804BD" w:rsidRPr="00B804BD" w:rsidRDefault="00B804BD" w:rsidP="00B804BD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Gráfico de Scores (Puntajes):</w:t>
      </w:r>
    </w:p>
    <w:p w14:paraId="21785C85" w14:textId="77777777" w:rsidR="00B804BD" w:rsidRPr="00B804BD" w:rsidRDefault="00B804BD" w:rsidP="00B804BD">
      <w:pPr>
        <w:numPr>
          <w:ilvl w:val="1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Representa a las </w:t>
      </w: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muestras</w:t>
      </w: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.</w:t>
      </w:r>
    </w:p>
    <w:p w14:paraId="21821D3B" w14:textId="77777777" w:rsidR="00B804BD" w:rsidRPr="00B804BD" w:rsidRDefault="00B804BD" w:rsidP="00B804BD">
      <w:pPr>
        <w:numPr>
          <w:ilvl w:val="1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Si dos puntos están cerca en el gráfico, sus espectros son químicamente similares.</w:t>
      </w:r>
    </w:p>
    <w:p w14:paraId="17A81BC8" w14:textId="77777777" w:rsidR="00B804BD" w:rsidRPr="00B804BD" w:rsidRDefault="00B804BD" w:rsidP="00B804BD">
      <w:pPr>
        <w:numPr>
          <w:ilvl w:val="1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Sirve para ver </w:t>
      </w: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agrupamientos (clusters)</w:t>
      </w: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: ej. "Muestras sanas vs. Muestras enfermas" o "Polímero A vs. Polímero B".</w:t>
      </w:r>
    </w:p>
    <w:p w14:paraId="273E75BD" w14:textId="77777777" w:rsidR="00B804BD" w:rsidRPr="00B804BD" w:rsidRDefault="00B804BD" w:rsidP="00B804BD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Gráfico de Loadings (Cargas):</w:t>
      </w:r>
    </w:p>
    <w:p w14:paraId="2237A256" w14:textId="77777777" w:rsidR="00B804BD" w:rsidRPr="00B804BD" w:rsidRDefault="00B804BD" w:rsidP="00B804BD">
      <w:pPr>
        <w:numPr>
          <w:ilvl w:val="1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Representa a las </w:t>
      </w: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variables (números de onda)</w:t>
      </w: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.</w:t>
      </w:r>
    </w:p>
    <w:p w14:paraId="4B5B8C71" w14:textId="77777777" w:rsidR="00B804BD" w:rsidRPr="00B804BD" w:rsidRDefault="00B804BD" w:rsidP="00B804BD">
      <w:pPr>
        <w:numPr>
          <w:ilvl w:val="1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Te dice </w:t>
      </w:r>
      <w:r w:rsidRPr="00B804BD">
        <w:rPr>
          <w:rFonts w:ascii="Segoe UI" w:eastAsia="Times New Roman" w:hAnsi="Segoe UI" w:cs="Segoe UI"/>
          <w:i/>
          <w:i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qué</w:t>
      </w: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 picos del espectro son responsables de separar los grupos en los Scores.</w:t>
      </w:r>
    </w:p>
    <w:p w14:paraId="1227A4AB" w14:textId="77777777" w:rsidR="00B804BD" w:rsidRPr="00B804BD" w:rsidRDefault="00B804BD" w:rsidP="00B804BD">
      <w:pPr>
        <w:numPr>
          <w:ilvl w:val="1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i/>
          <w:i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Ejemplo:</w:t>
      </w: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 "Si el grupo A está en la zona positiva del PC1, y en los Loadings hay un pico fuerte positivo en 1000 cm⁻¹, significa que el grupo A tiene más de esa sustancia que vibra a 1000 cm⁻¹."</w:t>
      </w:r>
    </w:p>
    <w:p w14:paraId="15E4F0E4" w14:textId="77777777" w:rsidR="00B804BD" w:rsidRPr="00B804BD" w:rsidRDefault="00B804BD" w:rsidP="00B804BD">
      <w:pPr>
        <w:spacing w:before="240" w:after="240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05014DAC">
          <v:rect id="_x0000_i1034" style="width:0;height:.75pt" o:hralign="center" o:hrstd="t" o:hr="t" fillcolor="#a0a0a0" stroked="f"/>
        </w:pict>
      </w:r>
    </w:p>
    <w:p w14:paraId="0AFA1A39" w14:textId="77777777" w:rsidR="00B804BD" w:rsidRPr="00B804BD" w:rsidRDefault="00B804BD" w:rsidP="00B804B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s-MX"/>
          <w14:ligatures w14:val="none"/>
        </w:rPr>
        <w:t>Resumen del Esquema Sugerido (Índice Tentativo)</w:t>
      </w:r>
    </w:p>
    <w:p w14:paraId="37CCA372" w14:textId="77777777" w:rsidR="00B804BD" w:rsidRPr="00B804BD" w:rsidRDefault="00B804BD" w:rsidP="00B804BD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Naturaleza Multivariante de los Espectros Vibracionales:</w:t>
      </w: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 Desafíos en el análisis de grandes sets de datos Raman/FTIR.</w:t>
      </w:r>
    </w:p>
    <w:p w14:paraId="40A722BB" w14:textId="77777777" w:rsidR="00B804BD" w:rsidRPr="00B804BD" w:rsidRDefault="00B804BD" w:rsidP="00B804BD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Tratamiento Matemático Previo (Pre-procesamiento):</w:t>
      </w: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 Corrección de línea base, normalización y derivadas.</w:t>
      </w:r>
    </w:p>
    <w:p w14:paraId="66EC435D" w14:textId="77777777" w:rsidR="00B804BD" w:rsidRPr="00B804BD" w:rsidRDefault="00B804BD" w:rsidP="00B804BD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Fundamentos del Análisis de Componentes Principales (PCA):</w:t>
      </w:r>
    </w:p>
    <w:p w14:paraId="10E1220D" w14:textId="77777777" w:rsidR="00B804BD" w:rsidRPr="00B804BD" w:rsidRDefault="00B804BD" w:rsidP="00B804BD">
      <w:pPr>
        <w:numPr>
          <w:ilvl w:val="1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Reducción de dimensionalidad y varianza explicada.</w:t>
      </w:r>
    </w:p>
    <w:p w14:paraId="27E40957" w14:textId="77777777" w:rsidR="00B804BD" w:rsidRPr="00B804BD" w:rsidRDefault="00B804BD" w:rsidP="00B804BD">
      <w:pPr>
        <w:numPr>
          <w:ilvl w:val="1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Descomposición matricial (opcional, si quieres ser más técnico).</w:t>
      </w:r>
    </w:p>
    <w:p w14:paraId="7247266B" w14:textId="77777777" w:rsidR="00B804BD" w:rsidRPr="00B804BD" w:rsidRDefault="00B804BD" w:rsidP="00B804BD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b/>
          <w:bCs/>
          <w:spacing w:val="2"/>
          <w:kern w:val="0"/>
          <w:sz w:val="24"/>
          <w:szCs w:val="24"/>
          <w:bdr w:val="single" w:sz="2" w:space="0" w:color="auto" w:frame="1"/>
          <w:lang w:eastAsia="es-MX"/>
          <w14:ligatures w14:val="none"/>
        </w:rPr>
        <w:t>Interpretación en Quimiometría:</w:t>
      </w:r>
    </w:p>
    <w:p w14:paraId="2E99D294" w14:textId="77777777" w:rsidR="00B804BD" w:rsidRPr="00B804BD" w:rsidRDefault="00B804BD" w:rsidP="00B804BD">
      <w:pPr>
        <w:numPr>
          <w:ilvl w:val="1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Mapas de puntuaciones (Scores plots): Identificación de patrones.</w:t>
      </w:r>
    </w:p>
    <w:p w14:paraId="5E304D68" w14:textId="77777777" w:rsidR="00B804BD" w:rsidRPr="00B804BD" w:rsidRDefault="00B804BD" w:rsidP="00B804BD">
      <w:pPr>
        <w:numPr>
          <w:ilvl w:val="1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</w:pPr>
      <w:r w:rsidRPr="00B804BD">
        <w:rPr>
          <w:rFonts w:ascii="Segoe UI" w:eastAsia="Times New Roman" w:hAnsi="Segoe UI" w:cs="Segoe UI"/>
          <w:spacing w:val="2"/>
          <w:kern w:val="0"/>
          <w:sz w:val="24"/>
          <w:szCs w:val="24"/>
          <w:lang w:eastAsia="es-MX"/>
          <w14:ligatures w14:val="none"/>
        </w:rPr>
        <w:t>Vectores de carga (Loadings plots): Asignación de bandas espectrales.</w:t>
      </w:r>
    </w:p>
    <w:p w14:paraId="0312B033" w14:textId="77777777" w:rsidR="00B804BD" w:rsidRPr="00CD73F4" w:rsidRDefault="00B804BD">
      <w:pPr>
        <w:rPr>
          <w:u w:val="single"/>
        </w:rPr>
      </w:pPr>
    </w:p>
    <w:sectPr w:rsidR="00B804BD" w:rsidRPr="00CD73F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49664F"/>
    <w:multiLevelType w:val="multilevel"/>
    <w:tmpl w:val="5032E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14471E1"/>
    <w:multiLevelType w:val="multilevel"/>
    <w:tmpl w:val="3DD47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410155"/>
    <w:multiLevelType w:val="multilevel"/>
    <w:tmpl w:val="74B84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B6E6300"/>
    <w:multiLevelType w:val="multilevel"/>
    <w:tmpl w:val="AC0E3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F796B40"/>
    <w:multiLevelType w:val="multilevel"/>
    <w:tmpl w:val="8D7C5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B39167B"/>
    <w:multiLevelType w:val="multilevel"/>
    <w:tmpl w:val="3656C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6954A5B"/>
    <w:multiLevelType w:val="multilevel"/>
    <w:tmpl w:val="6D303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6166406">
    <w:abstractNumId w:val="1"/>
  </w:num>
  <w:num w:numId="2" w16cid:durableId="1467510639">
    <w:abstractNumId w:val="2"/>
  </w:num>
  <w:num w:numId="3" w16cid:durableId="1388456396">
    <w:abstractNumId w:val="5"/>
  </w:num>
  <w:num w:numId="4" w16cid:durableId="435254246">
    <w:abstractNumId w:val="4"/>
  </w:num>
  <w:num w:numId="5" w16cid:durableId="816798983">
    <w:abstractNumId w:val="0"/>
  </w:num>
  <w:num w:numId="6" w16cid:durableId="448624740">
    <w:abstractNumId w:val="3"/>
  </w:num>
  <w:num w:numId="7" w16cid:durableId="26299814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73F4"/>
    <w:rsid w:val="001071F8"/>
    <w:rsid w:val="00652809"/>
    <w:rsid w:val="00AF7CF1"/>
    <w:rsid w:val="00B804BD"/>
    <w:rsid w:val="00C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D3700"/>
  <w15:docId w15:val="{5A5F2A7A-118B-48ED-B317-96E19754E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CD73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s-MX"/>
      <w14:ligatures w14:val="none"/>
    </w:rPr>
  </w:style>
  <w:style w:type="paragraph" w:styleId="Ttulo3">
    <w:name w:val="heading 3"/>
    <w:basedOn w:val="Normal"/>
    <w:link w:val="Ttulo3Car"/>
    <w:uiPriority w:val="9"/>
    <w:qFormat/>
    <w:rsid w:val="00CD73F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MX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CD73F4"/>
    <w:rPr>
      <w:rFonts w:ascii="Times New Roman" w:eastAsia="Times New Roman" w:hAnsi="Times New Roman" w:cs="Times New Roman"/>
      <w:b/>
      <w:bCs/>
      <w:kern w:val="0"/>
      <w:sz w:val="36"/>
      <w:szCs w:val="36"/>
      <w:lang w:eastAsia="es-MX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CD73F4"/>
    <w:rPr>
      <w:rFonts w:ascii="Times New Roman" w:eastAsia="Times New Roman" w:hAnsi="Times New Roman" w:cs="Times New Roman"/>
      <w:b/>
      <w:bCs/>
      <w:kern w:val="0"/>
      <w:sz w:val="27"/>
      <w:szCs w:val="27"/>
      <w:lang w:eastAsia="es-MX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D73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styleId="nfasis">
    <w:name w:val="Emphasis"/>
    <w:basedOn w:val="Fuentedeprrafopredeter"/>
    <w:uiPriority w:val="20"/>
    <w:qFormat/>
    <w:rsid w:val="00CD73F4"/>
    <w:rPr>
      <w:i/>
      <w:iCs/>
    </w:rPr>
  </w:style>
  <w:style w:type="character" w:styleId="Textoennegrita">
    <w:name w:val="Strong"/>
    <w:basedOn w:val="Fuentedeprrafopredeter"/>
    <w:uiPriority w:val="22"/>
    <w:qFormat/>
    <w:rsid w:val="00CD73F4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CD73F4"/>
    <w:rPr>
      <w:rFonts w:ascii="Courier New" w:eastAsia="Times New Roman" w:hAnsi="Courier New" w:cs="Courier New"/>
      <w:sz w:val="20"/>
      <w:szCs w:val="20"/>
    </w:rPr>
  </w:style>
  <w:style w:type="paragraph" w:customStyle="1" w:styleId="my-2">
    <w:name w:val="my-2"/>
    <w:basedOn w:val="Normal"/>
    <w:rsid w:val="00B804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0286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2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6</Pages>
  <Words>1264</Words>
  <Characters>6952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Jesús Leguizamón Acosta</dc:creator>
  <cp:keywords/>
  <dc:description/>
  <cp:lastModifiedBy>Ricardo Jesús Leguizamón Acosta</cp:lastModifiedBy>
  <cp:revision>1</cp:revision>
  <dcterms:created xsi:type="dcterms:W3CDTF">2025-12-15T18:12:00Z</dcterms:created>
  <dcterms:modified xsi:type="dcterms:W3CDTF">2026-01-20T22:27:00Z</dcterms:modified>
</cp:coreProperties>
</file>