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Agent-orchestrated ADLC: roles and artifacts</w:t>
      </w:r>
    </w:p>
    <w:p>
      <w:pPr>
        <w:spacing w:after="160"/>
      </w:pPr>
      <w:r>
        <w:t>The lifecycle uses explicit artifacts as handoffs. Each agent owns a bounded decision or delivery stage, while validation, testing, documentation, review, and deployment remain separate gates.</w:t>
      </w:r>
    </w:p>
    <w:p>
      <w:pPr>
        <w:pStyle w:val="Heading2"/>
      </w:pPr>
      <w:r>
        <w:t>Workflow overview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36004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urce-slide-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600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Solid arrows show artifact handoffs. Dashed arrows show feedback loops to the owning agent.</w:t>
      </w:r>
    </w:p>
    <w:p>
      <w:pPr>
        <w:pStyle w:val="Heading2"/>
      </w:pPr>
      <w:r>
        <w:t>Definition phase</w:t>
      </w:r>
    </w:p>
    <w:p>
      <w:pPr>
        <w:pStyle w:val="ListBullet"/>
      </w:pPr>
      <w:r>
        <w:rPr>
          <w:b/>
        </w:rPr>
        <w:t xml:space="preserve">Product Agent — </w:t>
      </w:r>
      <w:r>
        <w:t>Consumes Product Definition plus optional Supporting Evidence. Produces docs/project_description/PRD.md.</w:t>
      </w:r>
    </w:p>
    <w:p>
      <w:pPr>
        <w:pStyle w:val="ListBullet"/>
      </w:pPr>
      <w:r>
        <w:rPr>
          <w:b/>
        </w:rPr>
        <w:t xml:space="preserve">BA Agent — </w:t>
      </w:r>
      <w:r>
        <w:t>Consumes the approved PRD plus optional Existing Specifications and Supporting Evidence. Produces testable specifications under docs/specs/.</w:t>
      </w:r>
    </w:p>
    <w:p>
      <w:pPr>
        <w:pStyle w:val="ListBullet"/>
      </w:pPr>
      <w:r>
        <w:rPr>
          <w:b/>
        </w:rPr>
        <w:t xml:space="preserve">Architect Agent — </w:t>
      </w:r>
      <w:r>
        <w:t>Requires a Specification Directory or File. Existing Architecture Folder is optional and first. Architecture mode is detected from architecture.md plus ADR evidence. Produces the architecture document and ADRs inside docs/architecture/.</w:t>
      </w:r>
    </w:p>
    <w:p>
      <w:pPr>
        <w:pStyle w:val="ListBullet"/>
      </w:pPr>
      <w:r>
        <w:rPr>
          <w:b/>
        </w:rPr>
        <w:t xml:space="preserve">UX Agent — </w:t>
      </w:r>
      <w:r>
        <w:t>Consumes product context and optional architecture, research/evidence, and existing experience system. Produces a Design Package with design.md and wireframes, and updates affected specifications with UX requirements.</w:t>
      </w:r>
    </w:p>
    <w:p>
      <w:pPr>
        <w:pStyle w:val="ListBullet"/>
      </w:pPr>
      <w:r>
        <w:rPr>
          <w:b/>
        </w:rPr>
        <w:t xml:space="preserve">Project Planner Agent — </w:t>
      </w:r>
      <w:r>
        <w:t>Combines specifications, architecture, optional design package, and optional existing backlog. Produces the backlog: user stories sequenced by dependencies.</w:t>
      </w:r>
    </w:p>
    <w:p>
      <w:pPr>
        <w:pStyle w:val="Heading2"/>
      </w:pPr>
      <w:r>
        <w:t>Implementation and assurance phase</w:t>
      </w:r>
    </w:p>
    <w:p>
      <w:pPr>
        <w:spacing w:after="100"/>
      </w:pPr>
      <w:r>
        <w:rPr>
          <w:b/>
        </w:rPr>
        <w:t xml:space="preserve">1.  Developer Agent — </w:t>
      </w:r>
      <w:r>
        <w:t>Implements the next approved backlog item or one supplied user story/specification. The targeted item overrides the backlog. Existing code and tests are implicit inputs. Source changes are made under src/ on the task branch.</w:t>
      </w:r>
    </w:p>
    <w:p>
      <w:pPr>
        <w:spacing w:after="100"/>
      </w:pPr>
      <w:r>
        <w:rPr>
          <w:b/>
        </w:rPr>
        <w:t xml:space="preserve">2.  Spec Validation Agent — </w:t>
      </w:r>
      <w:r>
        <w:t>Checks spec-covered behavior before normal test execution in the backlog workflow. Standalone implementation invokes it automatically when drift_check_mode is on-implementation.</w:t>
      </w:r>
    </w:p>
    <w:p>
      <w:pPr>
        <w:spacing w:after="100"/>
      </w:pPr>
      <w:r>
        <w:rPr>
          <w:b/>
        </w:rPr>
        <w:t xml:space="preserve">3.  Test Agent — </w:t>
      </w:r>
      <w:r>
        <w:t>Creates and runs the applicable suite against the exact candidate. It can consume the backlog or one user story/specification; the targeted input wins.</w:t>
      </w:r>
    </w:p>
    <w:p>
      <w:pPr>
        <w:spacing w:after="100"/>
      </w:pPr>
      <w:r>
        <w:rPr>
          <w:b/>
        </w:rPr>
        <w:t xml:space="preserve">4.  Documentation Agent — </w:t>
      </w:r>
      <w:r>
        <w:t>Runs only after Test Agent PASS. It documents the exact tested revision or returns a justified no-change record. Code/spec conflicts return to Developer Agent and repeat validation.</w:t>
      </w:r>
    </w:p>
    <w:p>
      <w:pPr>
        <w:spacing w:after="100"/>
      </w:pPr>
      <w:r>
        <w:rPr>
          <w:b/>
        </w:rPr>
        <w:t xml:space="preserve">5.  Code Review Agent — </w:t>
      </w:r>
      <w:r>
        <w:t>Consumes the Pull Request and returns change requests or PR Merge approval. Requested changes return to Developer Agent.</w:t>
      </w:r>
    </w:p>
    <w:p>
      <w:pPr>
        <w:pStyle w:val="Heading2"/>
      </w:pPr>
      <w:r>
        <w:t>Deployment phase</w:t>
      </w:r>
    </w:p>
    <w:p>
      <w:r>
        <w:t>Deployment Agent consumes the approved merged PR, YAML Release Configuration, and workflow configuration. Optional inputs are a pre-deployment script, post-deployment script, Prior Release State, and Pre-Release Evidence. It produces the Live Release, Deployment Record, Rollback Artifact, and Post-Deploy Evidence. Production telemetry and user feedback return to Product Agent.</w:t>
      </w:r>
    </w:p>
    <w:p>
      <w:pPr>
        <w:pStyle w:val="Heading2"/>
      </w:pPr>
      <w:r>
        <w:t>Handoff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1512"/>
            <w:vAlign w:val="center"/>
            <w:shd w:fill="1E2761"/>
          </w:tcPr>
          <w:p>
            <w:r>
              <w:rPr>
                <w:b/>
                <w:color w:val="FFFFFF"/>
              </w:rPr>
              <w:t>Agent</w:t>
            </w:r>
          </w:p>
        </w:tc>
        <w:tc>
          <w:tcPr>
            <w:tcW w:type="dxa" w:w="3456"/>
            <w:vAlign w:val="center"/>
            <w:shd w:fill="1E2761"/>
          </w:tcPr>
          <w:p>
            <w:r>
              <w:rPr>
                <w:b/>
                <w:color w:val="FFFFFF"/>
              </w:rPr>
              <w:t>Consumes</w:t>
            </w:r>
          </w:p>
        </w:tc>
        <w:tc>
          <w:tcPr>
            <w:tcW w:type="dxa" w:w="3384"/>
            <w:vAlign w:val="center"/>
            <w:shd w:fill="1E2761"/>
          </w:tcPr>
          <w:p>
            <w:r>
              <w:rPr>
                <w:b/>
                <w:color w:val="FFFFFF"/>
              </w:rPr>
              <w:t>Produces</w:t>
            </w:r>
          </w:p>
        </w:tc>
        <w:tc>
          <w:tcPr>
            <w:tcW w:type="dxa" w:w="1728"/>
            <w:vAlign w:val="center"/>
            <w:shd w:fill="1E2761"/>
          </w:tcPr>
          <w:p>
            <w:r>
              <w:rPr>
                <w:b/>
                <w:color w:val="FFFFFF"/>
              </w:rPr>
              <w:t>Next owner</w:t>
            </w:r>
          </w:p>
        </w:tc>
      </w:tr>
      <w:tr>
        <w:tc>
          <w:tcPr>
            <w:tcW w:type="dxa" w:w="1512"/>
            <w:vAlign w:val="top"/>
          </w:tcPr>
          <w:p>
            <w:pPr>
              <w:spacing w:after="0"/>
            </w:pPr>
            <w:r>
              <w:rPr>
                <w:sz w:val="16"/>
              </w:rPr>
              <w:t>Product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>
              <w:rPr>
                <w:sz w:val="16"/>
              </w:rPr>
              <w:t>Product Definition; Supporting Evidence</w:t>
            </w:r>
          </w:p>
        </w:tc>
        <w:tc>
          <w:tcPr>
            <w:tcW w:type="dxa" w:w="3384"/>
            <w:vAlign w:val="top"/>
          </w:tcPr>
          <w:p>
            <w:pPr>
              <w:spacing w:after="0"/>
            </w:pPr>
            <w:r>
              <w:rPr>
                <w:sz w:val="16"/>
              </w:rPr>
              <w:t>PRD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>
              <w:rPr>
                <w:sz w:val="16"/>
              </w:rPr>
              <w:t>BA</w:t>
            </w:r>
          </w:p>
        </w:tc>
      </w:tr>
      <w:tr>
        <w:tc>
          <w:tcPr>
            <w:tcW w:type="dxa" w:w="1512"/>
            <w:vAlign w:val="top"/>
          </w:tcPr>
          <w:p>
            <w:pPr>
              <w:spacing w:after="0"/>
            </w:pPr>
            <w:r>
              <w:rPr>
                <w:sz w:val="16"/>
              </w:rPr>
              <w:t>BA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>
              <w:rPr>
                <w:sz w:val="16"/>
              </w:rPr>
              <w:t>PRD; Existing Specifications; Supporting Evidence</w:t>
            </w:r>
          </w:p>
        </w:tc>
        <w:tc>
          <w:tcPr>
            <w:tcW w:type="dxa" w:w="3384"/>
            <w:vAlign w:val="top"/>
          </w:tcPr>
          <w:p>
            <w:pPr>
              <w:spacing w:after="0"/>
            </w:pPr>
            <w:r>
              <w:rPr>
                <w:sz w:val="16"/>
              </w:rPr>
              <w:t>Specifications + acceptance criteria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>
              <w:rPr>
                <w:sz w:val="16"/>
              </w:rPr>
              <w:t>Architect / Planner</w:t>
            </w:r>
          </w:p>
        </w:tc>
      </w:tr>
      <w:tr>
        <w:tc>
          <w:tcPr>
            <w:tcW w:type="dxa" w:w="1512"/>
            <w:vAlign w:val="top"/>
          </w:tcPr>
          <w:p>
            <w:pPr>
              <w:spacing w:after="0"/>
            </w:pPr>
            <w:r>
              <w:rPr>
                <w:sz w:val="16"/>
              </w:rPr>
              <w:t>Architect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>
              <w:rPr>
                <w:sz w:val="16"/>
              </w:rPr>
              <w:t>Specification source; optional existing architecture, PRD, guidelines</w:t>
            </w:r>
          </w:p>
        </w:tc>
        <w:tc>
          <w:tcPr>
            <w:tcW w:type="dxa" w:w="3384"/>
            <w:vAlign w:val="top"/>
          </w:tcPr>
          <w:p>
            <w:pPr>
              <w:spacing w:after="0"/>
            </w:pPr>
            <w:r>
              <w:rPr>
                <w:sz w:val="16"/>
              </w:rPr>
              <w:t>Architecture Folder: document + ADRs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>
              <w:rPr>
                <w:sz w:val="16"/>
              </w:rPr>
              <w:t>UX / Planner</w:t>
            </w:r>
          </w:p>
        </w:tc>
      </w:tr>
      <w:tr>
        <w:tc>
          <w:tcPr>
            <w:tcW w:type="dxa" w:w="1512"/>
            <w:vAlign w:val="top"/>
          </w:tcPr>
          <w:p>
            <w:pPr>
              <w:spacing w:after="0"/>
            </w:pPr>
            <w:r>
              <w:rPr>
                <w:sz w:val="16"/>
              </w:rPr>
              <w:t>UX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>
              <w:rPr>
                <w:sz w:val="16"/>
              </w:rPr>
              <w:t>Product context; optional architecture and evidence</w:t>
            </w:r>
          </w:p>
        </w:tc>
        <w:tc>
          <w:tcPr>
            <w:tcW w:type="dxa" w:w="3384"/>
            <w:vAlign w:val="top"/>
          </w:tcPr>
          <w:p>
            <w:pPr>
              <w:spacing w:after="0"/>
            </w:pPr>
            <w:r>
              <w:rPr>
                <w:sz w:val="16"/>
              </w:rPr>
              <w:t>Design Package + updated specifications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>
              <w:rPr>
                <w:sz w:val="16"/>
              </w:rPr>
              <w:t>Planner</w:t>
            </w:r>
          </w:p>
        </w:tc>
      </w:tr>
      <w:tr>
        <w:tc>
          <w:tcPr>
            <w:tcW w:type="dxa" w:w="1512"/>
            <w:vAlign w:val="top"/>
          </w:tcPr>
          <w:p>
            <w:pPr>
              <w:spacing w:after="0"/>
            </w:pPr>
            <w:r>
              <w:rPr>
                <w:sz w:val="16"/>
              </w:rPr>
              <w:t>Planner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>
              <w:rPr>
                <w:sz w:val="16"/>
              </w:rPr>
              <w:t>Specifications; architecture; optional design package/backlog</w:t>
            </w:r>
          </w:p>
        </w:tc>
        <w:tc>
          <w:tcPr>
            <w:tcW w:type="dxa" w:w="3384"/>
            <w:vAlign w:val="top"/>
          </w:tcPr>
          <w:p>
            <w:pPr>
              <w:spacing w:after="0"/>
            </w:pPr>
            <w:r>
              <w:rPr>
                <w:sz w:val="16"/>
              </w:rPr>
              <w:t>Dependency-sequenced backlog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>
              <w:rPr>
                <w:sz w:val="16"/>
              </w:rPr>
              <w:t>Developer</w:t>
            </w:r>
          </w:p>
        </w:tc>
      </w:tr>
      <w:tr>
        <w:tc>
          <w:tcPr>
            <w:tcW w:type="dxa" w:w="1512"/>
            <w:vAlign w:val="top"/>
          </w:tcPr>
          <w:p>
            <w:pPr>
              <w:spacing w:after="0"/>
            </w:pPr>
            <w:r>
              <w:rPr>
                <w:sz w:val="16"/>
              </w:rPr>
              <w:t>Developer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>
              <w:rPr>
                <w:sz w:val="16"/>
              </w:rPr>
              <w:t>Backlog item or targeted story/spec; repository state</w:t>
            </w:r>
          </w:p>
        </w:tc>
        <w:tc>
          <w:tcPr>
            <w:tcW w:type="dxa" w:w="3384"/>
            <w:vAlign w:val="top"/>
          </w:tcPr>
          <w:p>
            <w:pPr>
              <w:spacing w:after="0"/>
            </w:pPr>
            <w:r>
              <w:rPr>
                <w:sz w:val="16"/>
              </w:rPr>
              <w:t>Source code + branch/PR candidate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>
              <w:rPr>
                <w:sz w:val="16"/>
              </w:rPr>
              <w:t>Spec Validation</w:t>
            </w:r>
          </w:p>
        </w:tc>
      </w:tr>
      <w:tr>
        <w:tc>
          <w:tcPr>
            <w:tcW w:type="dxa" w:w="1512"/>
            <w:vAlign w:val="top"/>
          </w:tcPr>
          <w:p>
            <w:pPr>
              <w:spacing w:after="0"/>
            </w:pPr>
            <w:r>
              <w:rPr>
                <w:sz w:val="16"/>
              </w:rPr>
              <w:t>Spec Validation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>
              <w:rPr>
                <w:sz w:val="16"/>
              </w:rPr>
              <w:t>Candidate revision + governing specifications</w:t>
            </w:r>
          </w:p>
        </w:tc>
        <w:tc>
          <w:tcPr>
            <w:tcW w:type="dxa" w:w="3384"/>
            <w:vAlign w:val="top"/>
          </w:tcPr>
          <w:p>
            <w:pPr>
              <w:spacing w:after="0"/>
            </w:pPr>
            <w:r>
              <w:rPr>
                <w:sz w:val="16"/>
              </w:rPr>
              <w:t>Conformance/security findings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>
              <w:rPr>
                <w:sz w:val="16"/>
              </w:rPr>
              <w:t>Test or Developer/BA</w:t>
            </w:r>
          </w:p>
        </w:tc>
      </w:tr>
      <w:tr>
        <w:tc>
          <w:tcPr>
            <w:tcW w:type="dxa" w:w="1512"/>
            <w:vAlign w:val="top"/>
          </w:tcPr>
          <w:p>
            <w:pPr>
              <w:spacing w:after="0"/>
            </w:pPr>
            <w:r>
              <w:rPr>
                <w:sz w:val="16"/>
              </w:rPr>
              <w:t>Test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>
              <w:rPr>
                <w:sz w:val="16"/>
              </w:rPr>
              <w:t>Candidate + original acceptance criteria</w:t>
            </w:r>
          </w:p>
        </w:tc>
        <w:tc>
          <w:tcPr>
            <w:tcW w:type="dxa" w:w="3384"/>
            <w:vAlign w:val="top"/>
          </w:tcPr>
          <w:p>
            <w:pPr>
              <w:spacing w:after="0"/>
            </w:pPr>
            <w:r>
              <w:rPr>
                <w:sz w:val="16"/>
              </w:rPr>
              <w:t>Tests + PASS/FAIL evidence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>
              <w:rPr>
                <w:sz w:val="16"/>
              </w:rPr>
              <w:t>Documentation or Developer</w:t>
            </w:r>
          </w:p>
        </w:tc>
      </w:tr>
      <w:tr>
        <w:tc>
          <w:tcPr>
            <w:tcW w:type="dxa" w:w="1512"/>
            <w:vAlign w:val="top"/>
          </w:tcPr>
          <w:p>
            <w:pPr>
              <w:spacing w:after="0"/>
            </w:pPr>
            <w:r>
              <w:rPr>
                <w:sz w:val="16"/>
              </w:rPr>
              <w:t>Documentation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>
              <w:rPr>
                <w:sz w:val="16"/>
              </w:rPr>
              <w:t>Exact tested revision + PASS evidence</w:t>
            </w:r>
          </w:p>
        </w:tc>
        <w:tc>
          <w:tcPr>
            <w:tcW w:type="dxa" w:w="3384"/>
            <w:vAlign w:val="top"/>
          </w:tcPr>
          <w:p>
            <w:pPr>
              <w:spacing w:after="0"/>
            </w:pPr>
            <w:r>
              <w:rPr>
                <w:sz w:val="16"/>
              </w:rPr>
              <w:t>Documented revision or no-change record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>
              <w:rPr>
                <w:sz w:val="16"/>
              </w:rPr>
              <w:t>Code Review</w:t>
            </w:r>
          </w:p>
        </w:tc>
      </w:tr>
      <w:tr>
        <w:tc>
          <w:tcPr>
            <w:tcW w:type="dxa" w:w="1512"/>
            <w:vAlign w:val="top"/>
          </w:tcPr>
          <w:p>
            <w:pPr>
              <w:spacing w:after="0"/>
            </w:pPr>
            <w:r>
              <w:rPr>
                <w:sz w:val="16"/>
              </w:rPr>
              <w:t>Code Review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>
              <w:rPr>
                <w:sz w:val="16"/>
              </w:rPr>
              <w:t>Pull Request</w:t>
            </w:r>
          </w:p>
        </w:tc>
        <w:tc>
          <w:tcPr>
            <w:tcW w:type="dxa" w:w="3384"/>
            <w:vAlign w:val="top"/>
          </w:tcPr>
          <w:p>
            <w:pPr>
              <w:spacing w:after="0"/>
            </w:pPr>
            <w:r>
              <w:rPr>
                <w:sz w:val="16"/>
              </w:rPr>
              <w:t>PR Merge approval or change requests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>
              <w:rPr>
                <w:sz w:val="16"/>
              </w:rPr>
              <w:t>Deployment or Developer</w:t>
            </w:r>
          </w:p>
        </w:tc>
      </w:tr>
      <w:tr>
        <w:tc>
          <w:tcPr>
            <w:tcW w:type="dxa" w:w="1512"/>
            <w:vAlign w:val="top"/>
          </w:tcPr>
          <w:p>
            <w:pPr>
              <w:spacing w:after="0"/>
            </w:pPr>
            <w:r>
              <w:rPr>
                <w:sz w:val="16"/>
              </w:rPr>
              <w:t>Deployment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>
              <w:rPr>
                <w:sz w:val="16"/>
              </w:rPr>
              <w:t>Merged PR + release configuration + optional scripts/context</w:t>
            </w:r>
          </w:p>
        </w:tc>
        <w:tc>
          <w:tcPr>
            <w:tcW w:type="dxa" w:w="3384"/>
            <w:vAlign w:val="top"/>
          </w:tcPr>
          <w:p>
            <w:pPr>
              <w:spacing w:after="0"/>
            </w:pPr>
            <w:r>
              <w:rPr>
                <w:sz w:val="16"/>
              </w:rPr>
              <w:t>Live release + deployment/rollback evidence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>
              <w:rPr>
                <w:sz w:val="16"/>
              </w:rPr>
              <w:t>Operations / Product</w:t>
            </w:r>
          </w:p>
        </w:tc>
      </w:tr>
    </w:tbl>
    <w:p>
      <w:r>
        <w:br w:type="page"/>
      </w:r>
    </w:p>
    <w:p>
      <w:pPr>
        <w:pStyle w:val="Heading2"/>
      </w:pPr>
      <w:r>
        <w:t>Artifact locations</w:t>
      </w:r>
    </w:p>
    <w:p>
      <w:pPr>
        <w:pStyle w:val="ListBullet"/>
      </w:pPr>
      <w:r>
        <w:t>docs/project_description/PRD.md — product definition</w:t>
      </w:r>
    </w:p>
    <w:p>
      <w:pPr>
        <w:pStyle w:val="ListBullet"/>
      </w:pPr>
      <w:r>
        <w:t>docs/specs/ — feature specifications and acceptance criteria</w:t>
      </w:r>
    </w:p>
    <w:p>
      <w:pPr>
        <w:pStyle w:val="ListBullet"/>
      </w:pPr>
      <w:r>
        <w:t>docs/architecture/architecture.md and docs/architecture/adrs/ — architecture package</w:t>
      </w:r>
    </w:p>
    <w:p>
      <w:pPr>
        <w:pStyle w:val="ListBullet"/>
      </w:pPr>
      <w:r>
        <w:t>docs/design/design.md and docs/design/wireframes/ — UX design package</w:t>
      </w:r>
    </w:p>
    <w:p>
      <w:pPr>
        <w:pStyle w:val="ListBullet"/>
      </w:pPr>
      <w:r>
        <w:t>Jira or docs/backlog/ — backlog of user stories sequenced by dependencies</w:t>
      </w:r>
    </w:p>
    <w:p>
      <w:pPr>
        <w:pStyle w:val="ListBullet"/>
      </w:pPr>
      <w:r>
        <w:t>src/ — implementation source and repository tests according to project conventions</w:t>
      </w:r>
    </w:p>
    <w:p>
      <w:pPr>
        <w:pStyle w:val="ListBullet"/>
      </w:pPr>
      <w:r>
        <w:t>docs/test-plans/ — approved test plans when required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E2761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E2761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