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color w:val="1F4E79"/>
          <w:sz w:val="56"/>
          <w:szCs w:val="56"/>
        </w:rPr>
        <w:t xml:space="preserve">La inflación en Lima</w:t>
      </w:r>
    </w:p>
    <w:p>
      <w:pPr>
        <w:spacing w:after="400"/>
      </w:pPr>
      <w:r>
        <w:rPr>
          <w:color w:val="404040"/>
          <w:sz w:val="28"/>
          <w:szCs w:val="28"/>
        </w:rPr>
        <w:t xml:space="preserve">Qué miden las cifras, por qué importan y cómo se calculan</w:t>
      </w:r>
    </w:p>
    <w:p>
      <w:pPr>
        <w:spacing w:after="160" w:line="300"/>
      </w:pPr>
      <w:r>
        <w:rPr>
          <w:b/>
          <w:bCs/>
        </w:rPr>
        <w:t xml:space="preserve">Fuente de los datos: </w:t>
      </w:r>
      <w:r>
        <w:t xml:space="preserve">Banco Central de Reserva del Perú (BCRP), a través de sus series estadísticas oficiales.</w:t>
      </w:r>
    </w:p>
    <w:p>
      <w:pPr>
        <w:spacing w:after="160" w:line="300"/>
      </w:pPr>
      <w:r>
        <w:rPr>
          <w:b/>
          <w:bCs/>
        </w:rPr>
        <w:t xml:space="preserve">Periodo analizado: </w:t>
      </w:r>
      <w:r>
        <w:t xml:space="preserve">octubre de 2025 a septiembre de 2026.</w:t>
      </w:r>
    </w:p>
    <w:p>
      <w:pPr>
        <w:spacing w:after="160" w:line="300"/>
      </w:pPr>
      <w:r>
        <w:rPr>
          <w:b/>
          <w:bCs/>
        </w:rPr>
        <w:t xml:space="preserve">Para quién: </w:t>
      </w:r>
      <w:r>
        <w:t xml:space="preserve">lectores sin formación en economía. No se requiere conocer fórmulas para seguir el informe.</w:t>
      </w:r>
    </w:p>
    <w:p>
      <w:pPr>
        <w:pStyle w:val="Heading1"/>
      </w:pPr>
      <w:r>
        <w:t xml:space="preserve">1. Lo esencial en cuatro cifras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60"/>
              <w:left w:type="dxa" w:w="200"/>
              <w:bottom w:type="dxa" w:w="160"/>
              <w:right w:type="dxa" w:w="200"/>
            </w:tcMar>
          </w:tcPr>
          <w:p>
            <w:pPr>
              <w:spacing w:after="100"/>
            </w:pPr>
            <w:r>
              <w:rPr>
                <w:b/>
                <w:bCs/>
                <w:color w:val="1F4E79"/>
                <w:sz w:val="24"/>
                <w:szCs w:val="24"/>
              </w:rPr>
              <w:t xml:space="preserve">Qué debes recordar</w:t>
            </w:r>
          </w:p>
          <w:p>
            <w:pPr>
              <w:spacing w:after="80" w:line="300"/>
            </w:pPr>
            <w:r>
              <w:rPr>
                <w:b/>
                <w:bCs/>
              </w:rPr>
              <w:t xml:space="preserve">Inflación de 4.55 % en septiembre de 2026. </w:t>
            </w:r>
            <w:r>
              <w:t xml:space="preserve">En promedio, lo que compra un hogar de Lima cuesta 4.55 % más que hace un año (serie PN01273PM).</w:t>
            </w:r>
          </w:p>
          <w:p>
            <w:pPr>
              <w:spacing w:after="80" w:line="300"/>
            </w:pPr>
            <w:r>
              <w:rPr>
                <w:b/>
                <w:bCs/>
              </w:rPr>
              <w:t xml:space="preserve">La inflación subió. </w:t>
            </w:r>
            <w:r>
              <w:t xml:space="preserve">Estaba en 1.35 % en octubre de 2025. El mayor salto ocurrió entre febrero y marzo de 2026, cuando pasó de 2.21 % a 3.80 %.</w:t>
            </w:r>
          </w:p>
          <w:p>
            <w:pPr>
              <w:spacing w:after="80" w:line="300"/>
            </w:pPr>
            <w:r>
              <w:rPr>
                <w:b/>
                <w:bCs/>
              </w:rPr>
              <w:t xml:space="preserve">Lo esperado también sube. </w:t>
            </w:r>
            <w:r>
              <w:t xml:space="preserve">Los analistas consultados por el BCRP esperan una inflación de 3.09 % para los próximos 12 meses (serie PD12912AM, septiembre de 2026).</w:t>
            </w:r>
          </w:p>
          <w:p>
            <w:pPr>
              <w:spacing w:after="80" w:line="300"/>
            </w:pPr>
            <w:r>
              <w:rPr>
                <w:b/>
                <w:bCs/>
              </w:rPr>
              <w:t xml:space="preserve">Promedio del periodo: 3.08 %. </w:t>
            </w:r>
            <w:r>
              <w:t xml:space="preserve">Es el valor medio de los doce meses analizados (serie PN01273PM).</w:t>
            </w:r>
          </w:p>
        </w:tc>
      </w:tr>
    </w:tbl>
    <w:p>
      <w:pPr>
        <w:spacing w:after="200" w:before="60"/>
      </w:pPr>
      <w:r>
        <w:rPr>
          <w:i/>
          <w:iCs/>
          <w:color w:val="595959"/>
          <w:sz w:val="18"/>
          <w:szCs w:val="18"/>
        </w:rPr>
        <w:t xml:space="preserve">Todas las cifras de este informe provienen de las series del BCRP consultadas el 28 de octubre de 2026. El último dato disponible es el de septiembre de 2026.</w:t>
      </w:r>
    </w:p>
    <w:p>
      <w:pPr>
        <w:pStyle w:val="Heading1"/>
      </w:pPr>
      <w:r>
        <w:t xml:space="preserve">2. ¿Qué es la inflación?</w:t>
      </w:r>
    </w:p>
    <w:p>
      <w:pPr>
        <w:spacing w:after="160" w:line="300"/>
      </w:pPr>
      <w:r>
        <w:t xml:space="preserve">La inflación es el aumento general y sostenido de los precios de bienes y servicios a lo largo del tiempo. Cuando la inflación sube, el mismo sol compra menos cosas que antes. A esto se le llama pérdida de poder adquisitivo.</w:t>
      </w:r>
    </w:p>
    <w:p>
      <w:pPr>
        <w:spacing w:after="160" w:line="300"/>
      </w:pPr>
      <w:r>
        <w:t xml:space="preserve">Imagina una canasta de compras con arroz, pollo, transporte, un pasaje de bus, una consulta médica y un recibo de luz. Si esa canasta cuesta 100 soles hoy y el año pasado costaba 95.65 soles, los precios subieron. Ese aumento se mide en porcentaje y eso es la inflación.</w:t>
      </w:r>
    </w:p>
    <w:p>
      <w:pPr>
        <w:spacing w:after="160" w:line="300"/>
      </w:pPr>
      <w:r>
        <w:t xml:space="preserve">No todos los precios suben al mismo ritmo. Por eso los economistas no miran un solo producto, sino una canasta representativa de lo que consume un hogar promedio. Esa canasta es la base del indicador oficial.</w:t>
      </w:r>
    </w:p>
    <w:p>
      <w:pPr>
        <w:pStyle w:val="Heading1"/>
      </w:pPr>
      <w:r>
        <w:t xml:space="preserve">3. ¿Cómo se calcula?</w:t>
      </w:r>
    </w:p>
    <w:p>
      <w:pPr>
        <w:spacing w:after="160" w:line="300"/>
      </w:pPr>
      <w:r>
        <w:t xml:space="preserve">La cifra principal que publica el BCRP se llama IPC, Índice de Precios al Consumidor. Se calcula para Lima Metropolitana en cinco pasos:</w:t>
      </w:r>
    </w:p>
    <w:p>
      <w:pPr>
        <w:pStyle w:val="ListParagraph"/>
        <w:numPr>
          <w:ilvl w:val="0"/>
          <w:numId w:val="2"/>
        </w:numPr>
        <w:spacing w:after="100" w:line="300"/>
      </w:pPr>
      <w:r>
        <w:rPr>
          <w:b/>
          <w:bCs/>
        </w:rPr>
        <w:t xml:space="preserve">Se define la canasta. </w:t>
      </w:r>
      <w:r>
        <w:t xml:space="preserve">Se listan cientos de bienes y servicios que consume un hogar típico: alimentos, transporte, educación, salud, vivienda, vestido, entre otros.</w:t>
      </w:r>
    </w:p>
    <w:p>
      <w:pPr>
        <w:pStyle w:val="ListParagraph"/>
        <w:numPr>
          <w:ilvl w:val="0"/>
          <w:numId w:val="2"/>
        </w:numPr>
        <w:spacing w:after="100" w:line="300"/>
      </w:pPr>
      <w:r>
        <w:rPr>
          <w:b/>
          <w:bCs/>
        </w:rPr>
        <w:t xml:space="preserve">Se asigna un peso a cada rubro. </w:t>
      </w:r>
      <w:r>
        <w:t xml:space="preserve">Un gasto grande, como la vivienda, pesa más en el índice que uno pequeño, como un periódico. Este peso se llama ponderación.</w:t>
      </w:r>
    </w:p>
    <w:p>
      <w:pPr>
        <w:pStyle w:val="ListParagraph"/>
        <w:numPr>
          <w:ilvl w:val="0"/>
          <w:numId w:val="2"/>
        </w:numPr>
        <w:spacing w:after="100" w:line="300"/>
      </w:pPr>
      <w:r>
        <w:rPr>
          <w:b/>
          <w:bCs/>
        </w:rPr>
        <w:t xml:space="preserve">Se recogen precios de forma periódica. </w:t>
      </w:r>
      <w:r>
        <w:t xml:space="preserve">Los precios se registran en mercados, tiendas, farmacias y otros establecimientos de Lima.</w:t>
      </w:r>
    </w:p>
    <w:p>
      <w:pPr>
        <w:pStyle w:val="ListParagraph"/>
        <w:numPr>
          <w:ilvl w:val="0"/>
          <w:numId w:val="2"/>
        </w:numPr>
        <w:spacing w:after="100" w:line="300"/>
      </w:pPr>
      <w:r>
        <w:rPr>
          <w:b/>
          <w:bCs/>
        </w:rPr>
        <w:t xml:space="preserve">Se construye el índice. </w:t>
      </w:r>
      <w:r>
        <w:t xml:space="preserve">Cada mes se calcula cuánto cuesta la canasta, en relación con un mes de referencia que se toma como 100. Así se obtiene un número que sube o baja con los precios.</w:t>
      </w:r>
    </w:p>
    <w:p>
      <w:pPr>
        <w:pStyle w:val="ListParagraph"/>
        <w:numPr>
          <w:ilvl w:val="0"/>
          <w:numId w:val="2"/>
        </w:numPr>
        <w:spacing w:after="100" w:line="300"/>
      </w:pPr>
      <w:r>
        <w:rPr>
          <w:b/>
          <w:bCs/>
        </w:rPr>
        <w:t xml:space="preserve">Se calcula la variación. </w:t>
      </w:r>
      <w:r>
        <w:t xml:space="preserve">Se compara el índice de un mes con el del mismo mes del año anterior. La diferencia, expresada en porcentaje, es la inflación de 12 meses que aparece en las series.</w:t>
      </w:r>
    </w:p>
    <w:p>
      <w:pPr>
        <w:pStyle w:val="Heading2"/>
      </w:pPr>
      <w:r>
        <w:t xml:space="preserve">Ejemplo ilustrativo (no son datos oficiales)</w:t>
      </w:r>
    </w:p>
    <w:p>
      <w:pPr>
        <w:spacing w:after="160" w:line="300"/>
      </w:pPr>
      <w:r>
        <w:t xml:space="preserve">Supongamos que una canasta costó 100 soles en septiembre de 2025 y costó 104.55 soles en septiembre de 2026:</w:t>
      </w:r>
    </w:p>
    <w:p>
      <w:pPr>
        <w:spacing w:after="160" w:line="300"/>
      </w:pPr>
      <w:r>
        <w:rPr>
          <w:b/>
          <w:bCs/>
        </w:rPr>
        <w:t xml:space="preserve">Variación = (104.55 − 100) ÷ 100 × 100 = 4.55 %</w:t>
      </w:r>
    </w:p>
    <w:p>
      <w:pPr>
        <w:spacing w:after="160" w:line="300"/>
      </w:pPr>
      <w:r>
        <w:t xml:space="preserve">Esa es la lógica que usa el BCRP con el índice real de Lima. La fórmula general es: variación de 12 meses = (índice del mes ÷ índice del mismo mes del año anterior − 1) × 100.</w:t>
      </w:r>
    </w:p>
    <w:p>
      <w:pPr>
        <w:spacing w:after="160" w:line="300"/>
      </w:pPr>
      <w:r>
        <w:t xml:space="preserve">Esta forma de cálculo explica por qué la cifra de 12 meses es más estable que la mensual: compara siempre con el mismo mes del año anterior y no se ve afectada por cambios estacionales de un solo mes.</w:t>
      </w:r>
    </w:p>
    <w:p>
      <w:pPr>
        <w:pStyle w:val="Heading2"/>
      </w:pPr>
      <w:r>
        <w:t xml:space="preserve">Tres formas de medir el mismo fenómeno</w:t>
      </w:r>
    </w:p>
    <w:p>
      <w:pPr>
        <w:spacing w:after="160" w:line="300"/>
      </w:pPr>
      <w:r>
        <w:t xml:space="preserve">En el buscador del BCRP aparecen tres variaciones del IPC. Cada una responde a una pregunta distinta: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shd w:fill="1F4E79" w:color="auto" w:val="clear"/>
            <w:tcMar>
              <w:top w:type="dxa" w:w="60"/>
              <w:left w:type="dxa" w:w="100"/>
              <w:bottom w:type="dxa" w:w="60"/>
              <w:right w:type="dxa" w:w="100"/>
            </w:tcMar>
          </w:tcPr>
          <w:p>
            <w:pPr>
              <w:jc w:val="left"/>
            </w:pPr>
            <w:r>
              <w:rPr>
                <w:b/>
                <w:bCs/>
                <w:color w:val="FFFFFF"/>
                <w:sz w:val="20"/>
                <w:szCs w:val="20"/>
              </w:rPr>
              <w:t xml:space="preserve">Medida</w:t>
            </w:r>
          </w:p>
        </w:tc>
        <w:tc>
          <w:tcPr>
            <w:tcW w:type="dxa" w:w="4160"/>
            <w:shd w:fill="1F4E79" w:color="auto" w:val="clear"/>
            <w:tcMar>
              <w:top w:type="dxa" w:w="60"/>
              <w:left w:type="dxa" w:w="100"/>
              <w:bottom w:type="dxa" w:w="60"/>
              <w:right w:type="dxa" w:w="100"/>
            </w:tcMar>
          </w:tcPr>
          <w:p>
            <w:pPr>
              <w:jc w:val="left"/>
            </w:pPr>
            <w:r>
              <w:rPr>
                <w:b/>
                <w:bCs/>
                <w:color w:val="FFFFFF"/>
                <w:sz w:val="20"/>
                <w:szCs w:val="20"/>
              </w:rPr>
              <w:t xml:space="preserve">Pregunta que responde</w:t>
            </w:r>
          </w:p>
        </w:tc>
        <w:tc>
          <w:tcPr>
            <w:tcW w:type="dxa" w:w="2800"/>
            <w:shd w:fill="1F4E79" w:color="auto" w:val="clear"/>
            <w:tcMar>
              <w:top w:type="dxa" w:w="60"/>
              <w:left w:type="dxa" w:w="100"/>
              <w:bottom w:type="dxa" w:w="60"/>
              <w:right w:type="dxa" w:w="100"/>
            </w:tcMar>
          </w:tcPr>
          <w:p>
            <w:pPr>
              <w:jc w:val="left"/>
            </w:pPr>
            <w:r>
              <w:rPr>
                <w:b/>
                <w:bCs/>
                <w:color w:val="FFFFFF"/>
                <w:sz w:val="20"/>
                <w:szCs w:val="20"/>
              </w:rPr>
              <w:t xml:space="preserve">Código de ejemplo</w:t>
            </w:r>
          </w:p>
        </w:tc>
      </w:tr>
      <w:tr>
        <w:tc>
          <w:tcPr>
            <w:tcW w:type="dxa" w:w="2400"/>
            <w:tcMar>
              <w:top w:type="dxa" w:w="60"/>
              <w:left w:type="dxa" w:w="100"/>
              <w:bottom w:type="dxa" w:w="60"/>
              <w:right w:type="dxa" w:w="100"/>
            </w:tcMar>
          </w:tcPr>
          <w:p>
            <w:pPr>
              <w:jc w:val="left"/>
            </w:pPr>
            <w:r>
              <w:rPr>
                <w:b w:val="false"/>
                <w:bCs w:val="false"/>
                <w:sz w:val="20"/>
                <w:szCs w:val="20"/>
              </w:rPr>
              <w:t xml:space="preserve">Variación mensual</w:t>
            </w:r>
          </w:p>
        </w:tc>
        <w:tc>
          <w:tcPr>
            <w:tcW w:type="dxa" w:w="4160"/>
            <w:tcMar>
              <w:top w:type="dxa" w:w="60"/>
              <w:left w:type="dxa" w:w="100"/>
              <w:bottom w:type="dxa" w:w="60"/>
              <w:right w:type="dxa" w:w="100"/>
            </w:tcMar>
          </w:tcPr>
          <w:p>
            <w:pPr>
              <w:jc w:val="left"/>
            </w:pPr>
            <w:r>
              <w:rPr>
                <w:b w:val="false"/>
                <w:bCs w:val="false"/>
                <w:sz w:val="20"/>
                <w:szCs w:val="20"/>
              </w:rPr>
              <w:t xml:space="preserve">¿Cuánto subieron los precios respecto al mes anterior?</w:t>
            </w:r>
          </w:p>
        </w:tc>
        <w:tc>
          <w:tcPr>
            <w:tcW w:type="dxa" w:w="2800"/>
            <w:tcMar>
              <w:top w:type="dxa" w:w="60"/>
              <w:left w:type="dxa" w:w="100"/>
              <w:bottom w:type="dxa" w:w="60"/>
              <w:right w:type="dxa" w:w="100"/>
            </w:tcMar>
          </w:tcPr>
          <w:p>
            <w:pPr>
              <w:jc w:val="left"/>
            </w:pPr>
            <w:r>
              <w:rPr>
                <w:b w:val="false"/>
                <w:bCs w:val="false"/>
                <w:sz w:val="20"/>
                <w:szCs w:val="20"/>
              </w:rPr>
              <w:t xml:space="preserve">PN01271PM (en el buscador aparece como var% mensual)</w:t>
            </w:r>
          </w:p>
        </w:tc>
      </w:tr>
      <w:tr>
        <w:tc>
          <w:tcPr>
            <w:tcW w:type="dxa" w:w="2400"/>
            <w:tcMar>
              <w:top w:type="dxa" w:w="60"/>
              <w:left w:type="dxa" w:w="100"/>
              <w:bottom w:type="dxa" w:w="60"/>
              <w:right w:type="dxa" w:w="100"/>
            </w:tcMar>
          </w:tcPr>
          <w:p>
            <w:pPr>
              <w:jc w:val="left"/>
            </w:pPr>
            <w:r>
              <w:rPr>
                <w:b w:val="false"/>
                <w:bCs w:val="false"/>
                <w:sz w:val="20"/>
                <w:szCs w:val="20"/>
              </w:rPr>
              <w:t xml:space="preserve">Variación de 12 meses</w:t>
            </w:r>
          </w:p>
        </w:tc>
        <w:tc>
          <w:tcPr>
            <w:tcW w:type="dxa" w:w="4160"/>
            <w:tcMar>
              <w:top w:type="dxa" w:w="60"/>
              <w:left w:type="dxa" w:w="100"/>
              <w:bottom w:type="dxa" w:w="60"/>
              <w:right w:type="dxa" w:w="100"/>
            </w:tcMar>
          </w:tcPr>
          <w:p>
            <w:pPr>
              <w:jc w:val="left"/>
            </w:pPr>
            <w:r>
              <w:rPr>
                <w:b w:val="false"/>
                <w:bCs w:val="false"/>
                <w:sz w:val="20"/>
                <w:szCs w:val="20"/>
              </w:rPr>
              <w:t xml:space="preserve">¿Cuánto subieron respecto al mismo mes del año pasado?</w:t>
            </w:r>
          </w:p>
        </w:tc>
        <w:tc>
          <w:tcPr>
            <w:tcW w:type="dxa" w:w="2800"/>
            <w:tcMar>
              <w:top w:type="dxa" w:w="60"/>
              <w:left w:type="dxa" w:w="100"/>
              <w:bottom w:type="dxa" w:w="60"/>
              <w:right w:type="dxa" w:w="100"/>
            </w:tcMar>
          </w:tcPr>
          <w:p>
            <w:pPr>
              <w:jc w:val="left"/>
            </w:pPr>
            <w:r>
              <w:rPr>
                <w:b w:val="false"/>
                <w:bCs w:val="false"/>
                <w:sz w:val="20"/>
                <w:szCs w:val="20"/>
              </w:rPr>
              <w:t xml:space="preserve">PN01273PM (la que usamos en este informe)</w:t>
            </w:r>
          </w:p>
        </w:tc>
      </w:tr>
      <w:tr>
        <w:tc>
          <w:tcPr>
            <w:tcW w:type="dxa" w:w="2400"/>
            <w:tcMar>
              <w:top w:type="dxa" w:w="60"/>
              <w:left w:type="dxa" w:w="100"/>
              <w:bottom w:type="dxa" w:w="60"/>
              <w:right w:type="dxa" w:w="100"/>
            </w:tcMar>
          </w:tcPr>
          <w:p>
            <w:pPr>
              <w:jc w:val="left"/>
            </w:pPr>
            <w:r>
              <w:rPr>
                <w:b w:val="false"/>
                <w:bCs w:val="false"/>
                <w:sz w:val="20"/>
                <w:szCs w:val="20"/>
              </w:rPr>
              <w:t xml:space="preserve">Variación acumulada</w:t>
            </w:r>
          </w:p>
        </w:tc>
        <w:tc>
          <w:tcPr>
            <w:tcW w:type="dxa" w:w="4160"/>
            <w:tcMar>
              <w:top w:type="dxa" w:w="60"/>
              <w:left w:type="dxa" w:w="100"/>
              <w:bottom w:type="dxa" w:w="60"/>
              <w:right w:type="dxa" w:w="100"/>
            </w:tcMar>
          </w:tcPr>
          <w:p>
            <w:pPr>
              <w:jc w:val="left"/>
            </w:pPr>
            <w:r>
              <w:rPr>
                <w:b w:val="false"/>
                <w:bCs w:val="false"/>
                <w:sz w:val="20"/>
                <w:szCs w:val="20"/>
              </w:rPr>
              <w:t xml:space="preserve">¿Cuánto subieron desde el inicio del año?</w:t>
            </w:r>
          </w:p>
        </w:tc>
        <w:tc>
          <w:tcPr>
            <w:tcW w:type="dxa" w:w="2800"/>
            <w:tcMar>
              <w:top w:type="dxa" w:w="60"/>
              <w:left w:type="dxa" w:w="100"/>
              <w:bottom w:type="dxa" w:w="60"/>
              <w:right w:type="dxa" w:w="100"/>
            </w:tcMar>
          </w:tcPr>
          <w:p>
            <w:pPr>
              <w:jc w:val="left"/>
            </w:pPr>
            <w:r>
              <w:rPr>
                <w:b w:val="false"/>
                <w:bCs w:val="false"/>
                <w:sz w:val="20"/>
                <w:szCs w:val="20"/>
              </w:rPr>
              <w:t xml:space="preserve">PN01272PM</w:t>
            </w:r>
          </w:p>
        </w:tc>
      </w:tr>
    </w:tbl>
    <w:p>
      <w:pPr>
        <w:spacing w:after="200" w:before="60"/>
      </w:pPr>
      <w:r>
        <w:rPr>
          <w:i/>
          <w:iCs/>
          <w:color w:val="595959"/>
          <w:sz w:val="18"/>
          <w:szCs w:val="18"/>
        </w:rPr>
        <w:t xml:space="preserve">Los códigos son los que devuelve el buscador de series del BCRP. Las tres comparten la misma canasta y el mismo índice; solo cambia la forma de comparar.</w:t>
      </w:r>
    </w:p>
    <w:p>
      <w:pPr>
        <w:pStyle w:val="Heading1"/>
      </w:pPr>
      <w:r>
        <w:t xml:space="preserve">4. Las cifras de inflación y expectativas</w:t>
      </w:r>
    </w:p>
    <w:p>
      <w:pPr>
        <w:spacing w:after="160" w:line="300"/>
      </w:pPr>
      <w:r>
        <w:t xml:space="preserve">La tabla siguiente muestra, mes por mes, la inflación de 12 meses observada y la inflación esperada por los analistas para los 12 meses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shd w:fill="1F4E79" w:color="auto" w:val="clear"/>
            <w:tcMar>
              <w:top w:type="dxa" w:w="60"/>
              <w:left w:type="dxa" w:w="100"/>
              <w:bottom w:type="dxa" w:w="60"/>
              <w:right w:type="dxa" w:w="100"/>
            </w:tcMar>
          </w:tcPr>
          <w:p>
            <w:pPr>
              <w:jc w:val="left"/>
            </w:pPr>
            <w:r>
              <w:rPr>
                <w:b/>
                <w:bCs/>
                <w:color w:val="FFFFFF"/>
                <w:sz w:val="20"/>
                <w:szCs w:val="20"/>
              </w:rPr>
              <w:t xml:space="preserve">Mes</w:t>
            </w:r>
          </w:p>
        </w:tc>
        <w:tc>
          <w:tcPr>
            <w:tcW w:type="dxa" w:w="3680"/>
            <w:shd w:fill="1F4E79" w:color="auto" w:val="clear"/>
            <w:tcMar>
              <w:top w:type="dxa" w:w="60"/>
              <w:left w:type="dxa" w:w="100"/>
              <w:bottom w:type="dxa" w:w="60"/>
              <w:right w:type="dxa" w:w="100"/>
            </w:tcMar>
          </w:tcPr>
          <w:p>
            <w:pPr>
              <w:jc w:val="center"/>
            </w:pPr>
            <w:r>
              <w:rPr>
                <w:b/>
                <w:bCs/>
                <w:color w:val="FFFFFF"/>
                <w:sz w:val="20"/>
                <w:szCs w:val="20"/>
              </w:rPr>
              <w:t xml:space="preserve">Inflación observada (PN01273PM)</w:t>
            </w:r>
          </w:p>
        </w:tc>
        <w:tc>
          <w:tcPr>
            <w:tcW w:type="dxa" w:w="3680"/>
            <w:shd w:fill="1F4E79" w:color="auto" w:val="clear"/>
            <w:tcMar>
              <w:top w:type="dxa" w:w="60"/>
              <w:left w:type="dxa" w:w="100"/>
              <w:bottom w:type="dxa" w:w="60"/>
              <w:right w:type="dxa" w:w="100"/>
            </w:tcMar>
          </w:tcPr>
          <w:p>
            <w:pPr>
              <w:jc w:val="center"/>
            </w:pPr>
            <w:r>
              <w:rPr>
                <w:b/>
                <w:bCs/>
                <w:color w:val="FFFFFF"/>
                <w:sz w:val="20"/>
                <w:szCs w:val="20"/>
              </w:rPr>
              <w:t xml:space="preserve">Inflación esperada (PD12912AM)</w:t>
            </w:r>
          </w:p>
        </w:tc>
      </w:tr>
      <w:tr>
        <w:tc>
          <w:tcPr>
            <w:tcW w:type="dxa" w:w="2000"/>
            <w:tcMar>
              <w:top w:type="dxa" w:w="60"/>
              <w:left w:type="dxa" w:w="100"/>
              <w:bottom w:type="dxa" w:w="60"/>
              <w:right w:type="dxa" w:w="100"/>
            </w:tcMar>
          </w:tcPr>
          <w:p>
            <w:pPr>
              <w:jc w:val="left"/>
            </w:pPr>
            <w:r>
              <w:rPr>
                <w:b w:val="false"/>
                <w:bCs w:val="false"/>
                <w:sz w:val="20"/>
                <w:szCs w:val="20"/>
              </w:rPr>
              <w:t xml:space="preserve">2025-10</w:t>
            </w:r>
          </w:p>
        </w:tc>
        <w:tc>
          <w:tcPr>
            <w:tcW w:type="dxa" w:w="3680"/>
            <w:tcMar>
              <w:top w:type="dxa" w:w="60"/>
              <w:left w:type="dxa" w:w="100"/>
              <w:bottom w:type="dxa" w:w="60"/>
              <w:right w:type="dxa" w:w="100"/>
            </w:tcMar>
          </w:tcPr>
          <w:p>
            <w:pPr>
              <w:jc w:val="center"/>
            </w:pPr>
            <w:r>
              <w:rPr>
                <w:b w:val="false"/>
                <w:bCs w:val="false"/>
                <w:sz w:val="20"/>
                <w:szCs w:val="20"/>
              </w:rPr>
              <w:t xml:space="preserve">1.35 %</w:t>
            </w:r>
          </w:p>
        </w:tc>
        <w:tc>
          <w:tcPr>
            <w:tcW w:type="dxa" w:w="3680"/>
            <w:tcMar>
              <w:top w:type="dxa" w:w="60"/>
              <w:left w:type="dxa" w:w="100"/>
              <w:bottom w:type="dxa" w:w="60"/>
              <w:right w:type="dxa" w:w="100"/>
            </w:tcMar>
          </w:tcPr>
          <w:p>
            <w:pPr>
              <w:jc w:val="center"/>
            </w:pPr>
            <w:r>
              <w:rPr>
                <w:b w:val="false"/>
                <w:bCs w:val="false"/>
                <w:sz w:val="20"/>
                <w:szCs w:val="20"/>
              </w:rPr>
              <w:t xml:space="preserve">2.19 %</w:t>
            </w:r>
          </w:p>
        </w:tc>
      </w:tr>
      <w:tr>
        <w:tc>
          <w:tcPr>
            <w:tcW w:type="dxa" w:w="2000"/>
            <w:tcMar>
              <w:top w:type="dxa" w:w="60"/>
              <w:left w:type="dxa" w:w="100"/>
              <w:bottom w:type="dxa" w:w="60"/>
              <w:right w:type="dxa" w:w="100"/>
            </w:tcMar>
          </w:tcPr>
          <w:p>
            <w:pPr>
              <w:jc w:val="left"/>
            </w:pPr>
            <w:r>
              <w:rPr>
                <w:b w:val="false"/>
                <w:bCs w:val="false"/>
                <w:sz w:val="20"/>
                <w:szCs w:val="20"/>
              </w:rPr>
              <w:t xml:space="preserve">2025-11</w:t>
            </w:r>
          </w:p>
        </w:tc>
        <w:tc>
          <w:tcPr>
            <w:tcW w:type="dxa" w:w="3680"/>
            <w:tcMar>
              <w:top w:type="dxa" w:w="60"/>
              <w:left w:type="dxa" w:w="100"/>
              <w:bottom w:type="dxa" w:w="60"/>
              <w:right w:type="dxa" w:w="100"/>
            </w:tcMar>
          </w:tcPr>
          <w:p>
            <w:pPr>
              <w:jc w:val="center"/>
            </w:pPr>
            <w:r>
              <w:rPr>
                <w:b w:val="false"/>
                <w:bCs w:val="false"/>
                <w:sz w:val="20"/>
                <w:szCs w:val="20"/>
              </w:rPr>
              <w:t xml:space="preserve">1.37 %</w:t>
            </w:r>
          </w:p>
        </w:tc>
        <w:tc>
          <w:tcPr>
            <w:tcW w:type="dxa" w:w="3680"/>
            <w:tcMar>
              <w:top w:type="dxa" w:w="60"/>
              <w:left w:type="dxa" w:w="100"/>
              <w:bottom w:type="dxa" w:w="60"/>
              <w:right w:type="dxa" w:w="100"/>
            </w:tcMar>
          </w:tcPr>
          <w:p>
            <w:pPr>
              <w:jc w:val="center"/>
            </w:pPr>
            <w:r>
              <w:rPr>
                <w:b w:val="false"/>
                <w:bCs w:val="false"/>
                <w:sz w:val="20"/>
                <w:szCs w:val="20"/>
              </w:rPr>
              <w:t xml:space="preserve">2.16 %</w:t>
            </w:r>
          </w:p>
        </w:tc>
      </w:tr>
      <w:tr>
        <w:tc>
          <w:tcPr>
            <w:tcW w:type="dxa" w:w="2000"/>
            <w:tcMar>
              <w:top w:type="dxa" w:w="60"/>
              <w:left w:type="dxa" w:w="100"/>
              <w:bottom w:type="dxa" w:w="60"/>
              <w:right w:type="dxa" w:w="100"/>
            </w:tcMar>
          </w:tcPr>
          <w:p>
            <w:pPr>
              <w:jc w:val="left"/>
            </w:pPr>
            <w:r>
              <w:rPr>
                <w:b w:val="false"/>
                <w:bCs w:val="false"/>
                <w:sz w:val="20"/>
                <w:szCs w:val="20"/>
              </w:rPr>
              <w:t xml:space="preserve">2025-12</w:t>
            </w:r>
          </w:p>
        </w:tc>
        <w:tc>
          <w:tcPr>
            <w:tcW w:type="dxa" w:w="3680"/>
            <w:tcMar>
              <w:top w:type="dxa" w:w="60"/>
              <w:left w:type="dxa" w:w="100"/>
              <w:bottom w:type="dxa" w:w="60"/>
              <w:right w:type="dxa" w:w="100"/>
            </w:tcMar>
          </w:tcPr>
          <w:p>
            <w:pPr>
              <w:jc w:val="center"/>
            </w:pPr>
            <w:r>
              <w:rPr>
                <w:b w:val="false"/>
                <w:bCs w:val="false"/>
                <w:sz w:val="20"/>
                <w:szCs w:val="20"/>
              </w:rPr>
              <w:t xml:space="preserve">1.51 %</w:t>
            </w:r>
          </w:p>
        </w:tc>
        <w:tc>
          <w:tcPr>
            <w:tcW w:type="dxa" w:w="3680"/>
            <w:tcMar>
              <w:top w:type="dxa" w:w="60"/>
              <w:left w:type="dxa" w:w="100"/>
              <w:bottom w:type="dxa" w:w="60"/>
              <w:right w:type="dxa" w:w="100"/>
            </w:tcMar>
          </w:tcPr>
          <w:p>
            <w:pPr>
              <w:jc w:val="center"/>
            </w:pPr>
            <w:r>
              <w:rPr>
                <w:b w:val="false"/>
                <w:bCs w:val="false"/>
                <w:sz w:val="20"/>
                <w:szCs w:val="20"/>
              </w:rPr>
              <w:t xml:space="preserve">2.13 %</w:t>
            </w:r>
          </w:p>
        </w:tc>
      </w:tr>
      <w:tr>
        <w:tc>
          <w:tcPr>
            <w:tcW w:type="dxa" w:w="2000"/>
            <w:tcMar>
              <w:top w:type="dxa" w:w="60"/>
              <w:left w:type="dxa" w:w="100"/>
              <w:bottom w:type="dxa" w:w="60"/>
              <w:right w:type="dxa" w:w="100"/>
            </w:tcMar>
          </w:tcPr>
          <w:p>
            <w:pPr>
              <w:jc w:val="left"/>
            </w:pPr>
            <w:r>
              <w:rPr>
                <w:b w:val="false"/>
                <w:bCs w:val="false"/>
                <w:sz w:val="20"/>
                <w:szCs w:val="20"/>
              </w:rPr>
              <w:t xml:space="preserve">2026-01</w:t>
            </w:r>
          </w:p>
        </w:tc>
        <w:tc>
          <w:tcPr>
            <w:tcW w:type="dxa" w:w="3680"/>
            <w:tcMar>
              <w:top w:type="dxa" w:w="60"/>
              <w:left w:type="dxa" w:w="100"/>
              <w:bottom w:type="dxa" w:w="60"/>
              <w:right w:type="dxa" w:w="100"/>
            </w:tcMar>
          </w:tcPr>
          <w:p>
            <w:pPr>
              <w:jc w:val="center"/>
            </w:pPr>
            <w:r>
              <w:rPr>
                <w:b w:val="false"/>
                <w:bCs w:val="false"/>
                <w:sz w:val="20"/>
                <w:szCs w:val="20"/>
              </w:rPr>
              <w:t xml:space="preserve">1.70 %</w:t>
            </w:r>
          </w:p>
        </w:tc>
        <w:tc>
          <w:tcPr>
            <w:tcW w:type="dxa" w:w="3680"/>
            <w:tcMar>
              <w:top w:type="dxa" w:w="60"/>
              <w:left w:type="dxa" w:w="100"/>
              <w:bottom w:type="dxa" w:w="60"/>
              <w:right w:type="dxa" w:w="100"/>
            </w:tcMar>
          </w:tcPr>
          <w:p>
            <w:pPr>
              <w:jc w:val="center"/>
            </w:pPr>
            <w:r>
              <w:rPr>
                <w:b w:val="false"/>
                <w:bCs w:val="false"/>
                <w:sz w:val="20"/>
                <w:szCs w:val="20"/>
              </w:rPr>
              <w:t xml:space="preserve">2.03 %</w:t>
            </w:r>
          </w:p>
        </w:tc>
      </w:tr>
      <w:tr>
        <w:tc>
          <w:tcPr>
            <w:tcW w:type="dxa" w:w="2000"/>
            <w:tcMar>
              <w:top w:type="dxa" w:w="60"/>
              <w:left w:type="dxa" w:w="100"/>
              <w:bottom w:type="dxa" w:w="60"/>
              <w:right w:type="dxa" w:w="100"/>
            </w:tcMar>
          </w:tcPr>
          <w:p>
            <w:pPr>
              <w:jc w:val="left"/>
            </w:pPr>
            <w:r>
              <w:rPr>
                <w:b w:val="false"/>
                <w:bCs w:val="false"/>
                <w:sz w:val="20"/>
                <w:szCs w:val="20"/>
              </w:rPr>
              <w:t xml:space="preserve">2026-02</w:t>
            </w:r>
          </w:p>
        </w:tc>
        <w:tc>
          <w:tcPr>
            <w:tcW w:type="dxa" w:w="3680"/>
            <w:tcMar>
              <w:top w:type="dxa" w:w="60"/>
              <w:left w:type="dxa" w:w="100"/>
              <w:bottom w:type="dxa" w:w="60"/>
              <w:right w:type="dxa" w:w="100"/>
            </w:tcMar>
          </w:tcPr>
          <w:p>
            <w:pPr>
              <w:jc w:val="center"/>
            </w:pPr>
            <w:r>
              <w:rPr>
                <w:b w:val="false"/>
                <w:bCs w:val="false"/>
                <w:sz w:val="20"/>
                <w:szCs w:val="20"/>
              </w:rPr>
              <w:t xml:space="preserve">2.21 %</w:t>
            </w:r>
          </w:p>
        </w:tc>
        <w:tc>
          <w:tcPr>
            <w:tcW w:type="dxa" w:w="3680"/>
            <w:tcMar>
              <w:top w:type="dxa" w:w="60"/>
              <w:left w:type="dxa" w:w="100"/>
              <w:bottom w:type="dxa" w:w="60"/>
              <w:right w:type="dxa" w:w="100"/>
            </w:tcMar>
          </w:tcPr>
          <w:p>
            <w:pPr>
              <w:jc w:val="center"/>
            </w:pPr>
            <w:r>
              <w:rPr>
                <w:b w:val="false"/>
                <w:bCs w:val="false"/>
                <w:sz w:val="20"/>
                <w:szCs w:val="20"/>
              </w:rPr>
              <w:t xml:space="preserve">2.14 %</w:t>
            </w:r>
          </w:p>
        </w:tc>
      </w:tr>
      <w:tr>
        <w:tc>
          <w:tcPr>
            <w:tcW w:type="dxa" w:w="2000"/>
            <w:tcMar>
              <w:top w:type="dxa" w:w="60"/>
              <w:left w:type="dxa" w:w="100"/>
              <w:bottom w:type="dxa" w:w="60"/>
              <w:right w:type="dxa" w:w="100"/>
            </w:tcMar>
          </w:tcPr>
          <w:p>
            <w:pPr>
              <w:jc w:val="left"/>
            </w:pPr>
            <w:r>
              <w:rPr>
                <w:b w:val="false"/>
                <w:bCs w:val="false"/>
                <w:sz w:val="20"/>
                <w:szCs w:val="20"/>
              </w:rPr>
              <w:t xml:space="preserve">2026-03</w:t>
            </w:r>
          </w:p>
        </w:tc>
        <w:tc>
          <w:tcPr>
            <w:tcW w:type="dxa" w:w="3680"/>
            <w:tcMar>
              <w:top w:type="dxa" w:w="60"/>
              <w:left w:type="dxa" w:w="100"/>
              <w:bottom w:type="dxa" w:w="60"/>
              <w:right w:type="dxa" w:w="100"/>
            </w:tcMar>
          </w:tcPr>
          <w:p>
            <w:pPr>
              <w:jc w:val="center"/>
            </w:pPr>
            <w:r>
              <w:rPr>
                <w:b w:val="false"/>
                <w:bCs w:val="false"/>
                <w:sz w:val="20"/>
                <w:szCs w:val="20"/>
              </w:rPr>
              <w:t xml:space="preserve">3.80 %</w:t>
            </w:r>
          </w:p>
        </w:tc>
        <w:tc>
          <w:tcPr>
            <w:tcW w:type="dxa" w:w="3680"/>
            <w:tcMar>
              <w:top w:type="dxa" w:w="60"/>
              <w:left w:type="dxa" w:w="100"/>
              <w:bottom w:type="dxa" w:w="60"/>
              <w:right w:type="dxa" w:w="100"/>
            </w:tcMar>
          </w:tcPr>
          <w:p>
            <w:pPr>
              <w:jc w:val="center"/>
            </w:pPr>
            <w:r>
              <w:rPr>
                <w:b w:val="false"/>
                <w:bCs w:val="false"/>
                <w:sz w:val="20"/>
                <w:szCs w:val="20"/>
              </w:rPr>
              <w:t xml:space="preserve">2.52 %</w:t>
            </w:r>
          </w:p>
        </w:tc>
      </w:tr>
      <w:tr>
        <w:tc>
          <w:tcPr>
            <w:tcW w:type="dxa" w:w="2000"/>
            <w:tcMar>
              <w:top w:type="dxa" w:w="60"/>
              <w:left w:type="dxa" w:w="100"/>
              <w:bottom w:type="dxa" w:w="60"/>
              <w:right w:type="dxa" w:w="100"/>
            </w:tcMar>
          </w:tcPr>
          <w:p>
            <w:pPr>
              <w:jc w:val="left"/>
            </w:pPr>
            <w:r>
              <w:rPr>
                <w:b w:val="false"/>
                <w:bCs w:val="false"/>
                <w:sz w:val="20"/>
                <w:szCs w:val="20"/>
              </w:rPr>
              <w:t xml:space="preserve">2026-04</w:t>
            </w:r>
          </w:p>
        </w:tc>
        <w:tc>
          <w:tcPr>
            <w:tcW w:type="dxa" w:w="3680"/>
            <w:tcMar>
              <w:top w:type="dxa" w:w="60"/>
              <w:left w:type="dxa" w:w="100"/>
              <w:bottom w:type="dxa" w:w="60"/>
              <w:right w:type="dxa" w:w="100"/>
            </w:tcMar>
          </w:tcPr>
          <w:p>
            <w:pPr>
              <w:jc w:val="center"/>
            </w:pPr>
            <w:r>
              <w:rPr>
                <w:b w:val="false"/>
                <w:bCs w:val="false"/>
                <w:sz w:val="20"/>
                <w:szCs w:val="20"/>
              </w:rPr>
              <w:t xml:space="preserve">4.01 %</w:t>
            </w:r>
          </w:p>
        </w:tc>
        <w:tc>
          <w:tcPr>
            <w:tcW w:type="dxa" w:w="3680"/>
            <w:tcMar>
              <w:top w:type="dxa" w:w="60"/>
              <w:left w:type="dxa" w:w="100"/>
              <w:bottom w:type="dxa" w:w="60"/>
              <w:right w:type="dxa" w:w="100"/>
            </w:tcMar>
          </w:tcPr>
          <w:p>
            <w:pPr>
              <w:jc w:val="center"/>
            </w:pPr>
            <w:r>
              <w:rPr>
                <w:b w:val="false"/>
                <w:bCs w:val="false"/>
                <w:sz w:val="20"/>
                <w:szCs w:val="20"/>
              </w:rPr>
              <w:t xml:space="preserve">2.82 %</w:t>
            </w:r>
          </w:p>
        </w:tc>
      </w:tr>
      <w:tr>
        <w:tc>
          <w:tcPr>
            <w:tcW w:type="dxa" w:w="2000"/>
            <w:tcMar>
              <w:top w:type="dxa" w:w="60"/>
              <w:left w:type="dxa" w:w="100"/>
              <w:bottom w:type="dxa" w:w="60"/>
              <w:right w:type="dxa" w:w="100"/>
            </w:tcMar>
          </w:tcPr>
          <w:p>
            <w:pPr>
              <w:jc w:val="left"/>
            </w:pPr>
            <w:r>
              <w:rPr>
                <w:b w:val="false"/>
                <w:bCs w:val="false"/>
                <w:sz w:val="20"/>
                <w:szCs w:val="20"/>
              </w:rPr>
              <w:t xml:space="preserve">2026-05</w:t>
            </w:r>
          </w:p>
        </w:tc>
        <w:tc>
          <w:tcPr>
            <w:tcW w:type="dxa" w:w="3680"/>
            <w:tcMar>
              <w:top w:type="dxa" w:w="60"/>
              <w:left w:type="dxa" w:w="100"/>
              <w:bottom w:type="dxa" w:w="60"/>
              <w:right w:type="dxa" w:w="100"/>
            </w:tcMar>
          </w:tcPr>
          <w:p>
            <w:pPr>
              <w:jc w:val="center"/>
            </w:pPr>
            <w:r>
              <w:rPr>
                <w:b w:val="false"/>
                <w:bCs w:val="false"/>
                <w:sz w:val="20"/>
                <w:szCs w:val="20"/>
              </w:rPr>
              <w:t xml:space="preserve">3.91 %</w:t>
            </w:r>
          </w:p>
        </w:tc>
        <w:tc>
          <w:tcPr>
            <w:tcW w:type="dxa" w:w="3680"/>
            <w:tcMar>
              <w:top w:type="dxa" w:w="60"/>
              <w:left w:type="dxa" w:w="100"/>
              <w:bottom w:type="dxa" w:w="60"/>
              <w:right w:type="dxa" w:w="100"/>
            </w:tcMar>
          </w:tcPr>
          <w:p>
            <w:pPr>
              <w:jc w:val="center"/>
            </w:pPr>
            <w:r>
              <w:rPr>
                <w:b w:val="false"/>
                <w:bCs w:val="false"/>
                <w:sz w:val="20"/>
                <w:szCs w:val="20"/>
              </w:rPr>
              <w:t xml:space="preserve">2.89 %</w:t>
            </w:r>
          </w:p>
        </w:tc>
      </w:tr>
      <w:tr>
        <w:tc>
          <w:tcPr>
            <w:tcW w:type="dxa" w:w="2000"/>
            <w:tcMar>
              <w:top w:type="dxa" w:w="60"/>
              <w:left w:type="dxa" w:w="100"/>
              <w:bottom w:type="dxa" w:w="60"/>
              <w:right w:type="dxa" w:w="100"/>
            </w:tcMar>
          </w:tcPr>
          <w:p>
            <w:pPr>
              <w:jc w:val="left"/>
            </w:pPr>
            <w:r>
              <w:rPr>
                <w:b w:val="false"/>
                <w:bCs w:val="false"/>
                <w:sz w:val="20"/>
                <w:szCs w:val="20"/>
              </w:rPr>
              <w:t xml:space="preserve">2026-06</w:t>
            </w:r>
          </w:p>
        </w:tc>
        <w:tc>
          <w:tcPr>
            <w:tcW w:type="dxa" w:w="3680"/>
            <w:tcMar>
              <w:top w:type="dxa" w:w="60"/>
              <w:left w:type="dxa" w:w="100"/>
              <w:bottom w:type="dxa" w:w="60"/>
              <w:right w:type="dxa" w:w="100"/>
            </w:tcMar>
          </w:tcPr>
          <w:p>
            <w:pPr>
              <w:jc w:val="center"/>
            </w:pPr>
            <w:r>
              <w:rPr>
                <w:b w:val="false"/>
                <w:bCs w:val="false"/>
                <w:sz w:val="20"/>
                <w:szCs w:val="20"/>
              </w:rPr>
              <w:t xml:space="preserve">4.01 %</w:t>
            </w:r>
          </w:p>
        </w:tc>
        <w:tc>
          <w:tcPr>
            <w:tcW w:type="dxa" w:w="3680"/>
            <w:tcMar>
              <w:top w:type="dxa" w:w="60"/>
              <w:left w:type="dxa" w:w="100"/>
              <w:bottom w:type="dxa" w:w="60"/>
              <w:right w:type="dxa" w:w="100"/>
            </w:tcMar>
          </w:tcPr>
          <w:p>
            <w:pPr>
              <w:jc w:val="center"/>
            </w:pPr>
            <w:r>
              <w:rPr>
                <w:b w:val="false"/>
                <w:bCs w:val="false"/>
                <w:sz w:val="20"/>
                <w:szCs w:val="20"/>
              </w:rPr>
              <w:t xml:space="preserve">2.83 %</w:t>
            </w:r>
          </w:p>
        </w:tc>
      </w:tr>
      <w:tr>
        <w:tc>
          <w:tcPr>
            <w:tcW w:type="dxa" w:w="2000"/>
            <w:tcMar>
              <w:top w:type="dxa" w:w="60"/>
              <w:left w:type="dxa" w:w="100"/>
              <w:bottom w:type="dxa" w:w="60"/>
              <w:right w:type="dxa" w:w="100"/>
            </w:tcMar>
          </w:tcPr>
          <w:p>
            <w:pPr>
              <w:jc w:val="left"/>
            </w:pPr>
            <w:r>
              <w:rPr>
                <w:b w:val="false"/>
                <w:bCs w:val="false"/>
                <w:sz w:val="20"/>
                <w:szCs w:val="20"/>
              </w:rPr>
              <w:t xml:space="preserve">2026-07</w:t>
            </w:r>
          </w:p>
        </w:tc>
        <w:tc>
          <w:tcPr>
            <w:tcW w:type="dxa" w:w="3680"/>
            <w:tcMar>
              <w:top w:type="dxa" w:w="60"/>
              <w:left w:type="dxa" w:w="100"/>
              <w:bottom w:type="dxa" w:w="60"/>
              <w:right w:type="dxa" w:w="100"/>
            </w:tcMar>
          </w:tcPr>
          <w:p>
            <w:pPr>
              <w:jc w:val="center"/>
            </w:pPr>
            <w:r>
              <w:rPr>
                <w:b w:val="false"/>
                <w:bCs w:val="false"/>
                <w:sz w:val="20"/>
                <w:szCs w:val="20"/>
              </w:rPr>
              <w:t xml:space="preserve">4.07 %</w:t>
            </w:r>
          </w:p>
        </w:tc>
        <w:tc>
          <w:tcPr>
            <w:tcW w:type="dxa" w:w="3680"/>
            <w:tcMar>
              <w:top w:type="dxa" w:w="60"/>
              <w:left w:type="dxa" w:w="100"/>
              <w:bottom w:type="dxa" w:w="60"/>
              <w:right w:type="dxa" w:w="100"/>
            </w:tcMar>
          </w:tcPr>
          <w:p>
            <w:pPr>
              <w:jc w:val="center"/>
            </w:pPr>
            <w:r>
              <w:rPr>
                <w:b w:val="false"/>
                <w:bCs w:val="false"/>
                <w:sz w:val="20"/>
                <w:szCs w:val="20"/>
              </w:rPr>
              <w:t xml:space="preserve">3.01 %</w:t>
            </w:r>
          </w:p>
        </w:tc>
      </w:tr>
      <w:tr>
        <w:tc>
          <w:tcPr>
            <w:tcW w:type="dxa" w:w="2000"/>
            <w:tcMar>
              <w:top w:type="dxa" w:w="60"/>
              <w:left w:type="dxa" w:w="100"/>
              <w:bottom w:type="dxa" w:w="60"/>
              <w:right w:type="dxa" w:w="100"/>
            </w:tcMar>
          </w:tcPr>
          <w:p>
            <w:pPr>
              <w:jc w:val="left"/>
            </w:pPr>
            <w:r>
              <w:rPr>
                <w:b w:val="false"/>
                <w:bCs w:val="false"/>
                <w:sz w:val="20"/>
                <w:szCs w:val="20"/>
              </w:rPr>
              <w:t xml:space="preserve">2026-08</w:t>
            </w:r>
          </w:p>
        </w:tc>
        <w:tc>
          <w:tcPr>
            <w:tcW w:type="dxa" w:w="3680"/>
            <w:tcMar>
              <w:top w:type="dxa" w:w="60"/>
              <w:left w:type="dxa" w:w="100"/>
              <w:bottom w:type="dxa" w:w="60"/>
              <w:right w:type="dxa" w:w="100"/>
            </w:tcMar>
          </w:tcPr>
          <w:p>
            <w:pPr>
              <w:jc w:val="center"/>
            </w:pPr>
            <w:r>
              <w:rPr>
                <w:b w:val="false"/>
                <w:bCs w:val="false"/>
                <w:sz w:val="20"/>
                <w:szCs w:val="20"/>
              </w:rPr>
              <w:t xml:space="preserve">4.44 %</w:t>
            </w:r>
          </w:p>
        </w:tc>
        <w:tc>
          <w:tcPr>
            <w:tcW w:type="dxa" w:w="3680"/>
            <w:tcMar>
              <w:top w:type="dxa" w:w="60"/>
              <w:left w:type="dxa" w:w="100"/>
              <w:bottom w:type="dxa" w:w="60"/>
              <w:right w:type="dxa" w:w="100"/>
            </w:tcMar>
          </w:tcPr>
          <w:p>
            <w:pPr>
              <w:jc w:val="center"/>
            </w:pPr>
            <w:r>
              <w:rPr>
                <w:b w:val="false"/>
                <w:bCs w:val="false"/>
                <w:sz w:val="20"/>
                <w:szCs w:val="20"/>
              </w:rPr>
              <w:t xml:space="preserve">3.05 %</w:t>
            </w:r>
          </w:p>
        </w:tc>
      </w:tr>
      <w:tr>
        <w:tc>
          <w:tcPr>
            <w:tcW w:type="dxa" w:w="2000"/>
            <w:tcMar>
              <w:top w:type="dxa" w:w="60"/>
              <w:left w:type="dxa" w:w="100"/>
              <w:bottom w:type="dxa" w:w="60"/>
              <w:right w:type="dxa" w:w="100"/>
            </w:tcMar>
          </w:tcPr>
          <w:p>
            <w:pPr>
              <w:jc w:val="left"/>
            </w:pPr>
            <w:r>
              <w:rPr>
                <w:b w:val="false"/>
                <w:bCs w:val="false"/>
                <w:sz w:val="20"/>
                <w:szCs w:val="20"/>
              </w:rPr>
              <w:t xml:space="preserve">2026-09</w:t>
            </w:r>
          </w:p>
        </w:tc>
        <w:tc>
          <w:tcPr>
            <w:tcW w:type="dxa" w:w="3680"/>
            <w:tcMar>
              <w:top w:type="dxa" w:w="60"/>
              <w:left w:type="dxa" w:w="100"/>
              <w:bottom w:type="dxa" w:w="60"/>
              <w:right w:type="dxa" w:w="100"/>
            </w:tcMar>
          </w:tcPr>
          <w:p>
            <w:pPr>
              <w:jc w:val="center"/>
            </w:pPr>
            <w:r>
              <w:rPr>
                <w:b w:val="false"/>
                <w:bCs w:val="false"/>
                <w:sz w:val="20"/>
                <w:szCs w:val="20"/>
              </w:rPr>
              <w:t xml:space="preserve">4.55 %</w:t>
            </w:r>
          </w:p>
        </w:tc>
        <w:tc>
          <w:tcPr>
            <w:tcW w:type="dxa" w:w="3680"/>
            <w:tcMar>
              <w:top w:type="dxa" w:w="60"/>
              <w:left w:type="dxa" w:w="100"/>
              <w:bottom w:type="dxa" w:w="60"/>
              <w:right w:type="dxa" w:w="100"/>
            </w:tcMar>
          </w:tcPr>
          <w:p>
            <w:pPr>
              <w:jc w:val="center"/>
            </w:pPr>
            <w:r>
              <w:rPr>
                <w:b w:val="false"/>
                <w:bCs w:val="false"/>
                <w:sz w:val="20"/>
                <w:szCs w:val="20"/>
              </w:rPr>
              <w:t xml:space="preserve">3.09 %</w:t>
            </w:r>
          </w:p>
        </w:tc>
      </w:tr>
    </w:tbl>
    <w:p>
      <w:pPr>
        <w:spacing w:after="200" w:before="60"/>
      </w:pPr>
      <w:r>
        <w:rPr>
          <w:i/>
          <w:iCs/>
          <w:color w:val="595959"/>
          <w:sz w:val="18"/>
          <w:szCs w:val="18"/>
        </w:rPr>
        <w:t xml:space="preserve">Inflación observada: variación de 12 meses del IPC de Lima Metropolitana. Inflación esperada: promedio de las expectativas de analistas consultados por el BCRP, para los siguientes 12 meses.</w:t>
      </w:r>
    </w:p>
    <w:p>
      <w:pPr>
        <w:pStyle w:val="Heading2"/>
      </w:pPr>
      <w:r>
        <w:t xml:space="preserve">Cómo leer el resumen del periodo</w:t>
      </w:r>
    </w:p>
    <w:p>
      <w:pPr>
        <w:spacing w:after="160" w:line="300"/>
      </w:pPr>
      <w:r>
        <w:t xml:space="preserve">Un servidor de consulta de series del BCRP, creado para este ejercicio, calculó estos indicadores para la inflación de 12 meses entre octubre de 2025 y septiembre de 2026 (serie PN01273PM):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shd w:fill="1F4E79" w:color="auto" w:val="clear"/>
            <w:tcMar>
              <w:top w:type="dxa" w:w="60"/>
              <w:left w:type="dxa" w:w="100"/>
              <w:bottom w:type="dxa" w:w="60"/>
              <w:right w:type="dxa" w:w="100"/>
            </w:tcMar>
          </w:tcPr>
          <w:p>
            <w:pPr>
              <w:jc w:val="left"/>
            </w:pPr>
            <w:r>
              <w:rPr>
                <w:b/>
                <w:bCs/>
                <w:color w:val="FFFFFF"/>
                <w:sz w:val="20"/>
                <w:szCs w:val="20"/>
              </w:rPr>
              <w:t xml:space="preserve">Indicador</w:t>
            </w:r>
          </w:p>
        </w:tc>
        <w:tc>
          <w:tcPr>
            <w:tcW w:type="dxa" w:w="3160"/>
            <w:shd w:fill="1F4E79" w:color="auto" w:val="clear"/>
            <w:tcMar>
              <w:top w:type="dxa" w:w="60"/>
              <w:left w:type="dxa" w:w="100"/>
              <w:bottom w:type="dxa" w:w="60"/>
              <w:right w:type="dxa" w:w="100"/>
            </w:tcMar>
          </w:tcPr>
          <w:p>
            <w:pPr>
              <w:jc w:val="left"/>
            </w:pPr>
            <w:r>
              <w:rPr>
                <w:b/>
                <w:bCs/>
                <w:color w:val="FFFFFF"/>
                <w:sz w:val="20"/>
                <w:szCs w:val="20"/>
              </w:rPr>
              <w:t xml:space="preserve">Valor</w:t>
            </w:r>
          </w:p>
        </w:tc>
        <w:tc>
          <w:tcPr>
            <w:tcW w:type="dxa" w:w="3800"/>
            <w:shd w:fill="1F4E79" w:color="auto" w:val="clear"/>
            <w:tcMar>
              <w:top w:type="dxa" w:w="60"/>
              <w:left w:type="dxa" w:w="100"/>
              <w:bottom w:type="dxa" w:w="60"/>
              <w:right w:type="dxa" w:w="100"/>
            </w:tcMar>
          </w:tcPr>
          <w:p>
            <w:pPr>
              <w:jc w:val="left"/>
            </w:pPr>
            <w:r>
              <w:rPr>
                <w:b/>
                <w:bCs/>
                <w:color w:val="FFFFFF"/>
                <w:sz w:val="20"/>
                <w:szCs w:val="20"/>
              </w:rPr>
              <w:t xml:space="preserve">Qué significa</w:t>
            </w:r>
          </w:p>
        </w:tc>
      </w:tr>
      <w:tr>
        <w:tc>
          <w:tcPr>
            <w:tcW w:type="dxa" w:w="2400"/>
            <w:tcMar>
              <w:top w:type="dxa" w:w="60"/>
              <w:left w:type="dxa" w:w="100"/>
              <w:bottom w:type="dxa" w:w="60"/>
              <w:right w:type="dxa" w:w="100"/>
            </w:tcMar>
          </w:tcPr>
          <w:p>
            <w:pPr>
              <w:jc w:val="left"/>
            </w:pPr>
            <w:r>
              <w:rPr>
                <w:b w:val="false"/>
                <w:bCs w:val="false"/>
                <w:sz w:val="20"/>
                <w:szCs w:val="20"/>
              </w:rPr>
              <w:t xml:space="preserve">Primer dato</w:t>
            </w:r>
          </w:p>
        </w:tc>
        <w:tc>
          <w:tcPr>
            <w:tcW w:type="dxa" w:w="3160"/>
            <w:tcMar>
              <w:top w:type="dxa" w:w="60"/>
              <w:left w:type="dxa" w:w="100"/>
              <w:bottom w:type="dxa" w:w="60"/>
              <w:right w:type="dxa" w:w="100"/>
            </w:tcMar>
          </w:tcPr>
          <w:p>
            <w:pPr>
              <w:jc w:val="left"/>
            </w:pPr>
            <w:r>
              <w:rPr>
                <w:b w:val="false"/>
                <w:bCs w:val="false"/>
                <w:sz w:val="20"/>
                <w:szCs w:val="20"/>
              </w:rPr>
              <w:t xml:space="preserve">1.35 % (2025-10)</w:t>
            </w:r>
          </w:p>
        </w:tc>
        <w:tc>
          <w:tcPr>
            <w:tcW w:type="dxa" w:w="3800"/>
            <w:tcMar>
              <w:top w:type="dxa" w:w="60"/>
              <w:left w:type="dxa" w:w="100"/>
              <w:bottom w:type="dxa" w:w="60"/>
              <w:right w:type="dxa" w:w="100"/>
            </w:tcMar>
          </w:tcPr>
          <w:p>
            <w:pPr>
              <w:jc w:val="left"/>
            </w:pPr>
            <w:r>
              <w:rPr>
                <w:b w:val="false"/>
                <w:bCs w:val="false"/>
                <w:sz w:val="20"/>
                <w:szCs w:val="20"/>
              </w:rPr>
              <w:t xml:space="preserve">Punto de partida del periodo</w:t>
            </w:r>
          </w:p>
        </w:tc>
      </w:tr>
      <w:tr>
        <w:tc>
          <w:tcPr>
            <w:tcW w:type="dxa" w:w="2400"/>
            <w:tcMar>
              <w:top w:type="dxa" w:w="60"/>
              <w:left w:type="dxa" w:w="100"/>
              <w:bottom w:type="dxa" w:w="60"/>
              <w:right w:type="dxa" w:w="100"/>
            </w:tcMar>
          </w:tcPr>
          <w:p>
            <w:pPr>
              <w:jc w:val="left"/>
            </w:pPr>
            <w:r>
              <w:rPr>
                <w:b w:val="false"/>
                <w:bCs w:val="false"/>
                <w:sz w:val="20"/>
                <w:szCs w:val="20"/>
              </w:rPr>
              <w:t xml:space="preserve">Último dato</w:t>
            </w:r>
          </w:p>
        </w:tc>
        <w:tc>
          <w:tcPr>
            <w:tcW w:type="dxa" w:w="3160"/>
            <w:tcMar>
              <w:top w:type="dxa" w:w="60"/>
              <w:left w:type="dxa" w:w="100"/>
              <w:bottom w:type="dxa" w:w="60"/>
              <w:right w:type="dxa" w:w="100"/>
            </w:tcMar>
          </w:tcPr>
          <w:p>
            <w:pPr>
              <w:jc w:val="left"/>
            </w:pPr>
            <w:r>
              <w:rPr>
                <w:b w:val="false"/>
                <w:bCs w:val="false"/>
                <w:sz w:val="20"/>
                <w:szCs w:val="20"/>
              </w:rPr>
              <w:t xml:space="preserve">4.55 % (2026-09)</w:t>
            </w:r>
          </w:p>
        </w:tc>
        <w:tc>
          <w:tcPr>
            <w:tcW w:type="dxa" w:w="3800"/>
            <w:tcMar>
              <w:top w:type="dxa" w:w="60"/>
              <w:left w:type="dxa" w:w="100"/>
              <w:bottom w:type="dxa" w:w="60"/>
              <w:right w:type="dxa" w:w="100"/>
            </w:tcMar>
          </w:tcPr>
          <w:p>
            <w:pPr>
              <w:jc w:val="left"/>
            </w:pPr>
            <w:r>
              <w:rPr>
                <w:b w:val="false"/>
                <w:bCs w:val="false"/>
                <w:sz w:val="20"/>
                <w:szCs w:val="20"/>
              </w:rPr>
              <w:t xml:space="preserve">Situación más reciente</w:t>
            </w:r>
          </w:p>
        </w:tc>
      </w:tr>
      <w:tr>
        <w:tc>
          <w:tcPr>
            <w:tcW w:type="dxa" w:w="2400"/>
            <w:tcMar>
              <w:top w:type="dxa" w:w="60"/>
              <w:left w:type="dxa" w:w="100"/>
              <w:bottom w:type="dxa" w:w="60"/>
              <w:right w:type="dxa" w:w="100"/>
            </w:tcMar>
          </w:tcPr>
          <w:p>
            <w:pPr>
              <w:jc w:val="left"/>
            </w:pPr>
            <w:r>
              <w:rPr>
                <w:b w:val="false"/>
                <w:bCs w:val="false"/>
                <w:sz w:val="20"/>
                <w:szCs w:val="20"/>
              </w:rPr>
              <w:t xml:space="preserve">Cambio</w:t>
            </w:r>
          </w:p>
        </w:tc>
        <w:tc>
          <w:tcPr>
            <w:tcW w:type="dxa" w:w="3160"/>
            <w:tcMar>
              <w:top w:type="dxa" w:w="60"/>
              <w:left w:type="dxa" w:w="100"/>
              <w:bottom w:type="dxa" w:w="60"/>
              <w:right w:type="dxa" w:w="100"/>
            </w:tcMar>
          </w:tcPr>
          <w:p>
            <w:pPr>
              <w:jc w:val="left"/>
            </w:pPr>
            <w:r>
              <w:rPr>
                <w:b w:val="false"/>
                <w:bCs w:val="false"/>
                <w:sz w:val="20"/>
                <w:szCs w:val="20"/>
              </w:rPr>
              <w:t xml:space="preserve">3.20 puntos porcentuales</w:t>
            </w:r>
          </w:p>
        </w:tc>
        <w:tc>
          <w:tcPr>
            <w:tcW w:type="dxa" w:w="3800"/>
            <w:tcMar>
              <w:top w:type="dxa" w:w="60"/>
              <w:left w:type="dxa" w:w="100"/>
              <w:bottom w:type="dxa" w:w="60"/>
              <w:right w:type="dxa" w:w="100"/>
            </w:tcMar>
          </w:tcPr>
          <w:p>
            <w:pPr>
              <w:jc w:val="left"/>
            </w:pPr>
            <w:r>
              <w:rPr>
                <w:b w:val="false"/>
                <w:bCs w:val="false"/>
                <w:sz w:val="20"/>
                <w:szCs w:val="20"/>
              </w:rPr>
              <w:t xml:space="preserve">Cuánto creció la inflación en el periodo</w:t>
            </w:r>
          </w:p>
        </w:tc>
      </w:tr>
      <w:tr>
        <w:tc>
          <w:tcPr>
            <w:tcW w:type="dxa" w:w="2400"/>
            <w:tcMar>
              <w:top w:type="dxa" w:w="60"/>
              <w:left w:type="dxa" w:w="100"/>
              <w:bottom w:type="dxa" w:w="60"/>
              <w:right w:type="dxa" w:w="100"/>
            </w:tcMar>
          </w:tcPr>
          <w:p>
            <w:pPr>
              <w:jc w:val="left"/>
            </w:pPr>
            <w:r>
              <w:rPr>
                <w:b w:val="false"/>
                <w:bCs w:val="false"/>
                <w:sz w:val="20"/>
                <w:szCs w:val="20"/>
              </w:rPr>
              <w:t xml:space="preserve">Promedio</w:t>
            </w:r>
          </w:p>
        </w:tc>
        <w:tc>
          <w:tcPr>
            <w:tcW w:type="dxa" w:w="3160"/>
            <w:tcMar>
              <w:top w:type="dxa" w:w="60"/>
              <w:left w:type="dxa" w:w="100"/>
              <w:bottom w:type="dxa" w:w="60"/>
              <w:right w:type="dxa" w:w="100"/>
            </w:tcMar>
          </w:tcPr>
          <w:p>
            <w:pPr>
              <w:jc w:val="left"/>
            </w:pPr>
            <w:r>
              <w:rPr>
                <w:b w:val="false"/>
                <w:bCs w:val="false"/>
                <w:sz w:val="20"/>
                <w:szCs w:val="20"/>
              </w:rPr>
              <w:t xml:space="preserve">3.08 %</w:t>
            </w:r>
          </w:p>
        </w:tc>
        <w:tc>
          <w:tcPr>
            <w:tcW w:type="dxa" w:w="3800"/>
            <w:tcMar>
              <w:top w:type="dxa" w:w="60"/>
              <w:left w:type="dxa" w:w="100"/>
              <w:bottom w:type="dxa" w:w="60"/>
              <w:right w:type="dxa" w:w="100"/>
            </w:tcMar>
          </w:tcPr>
          <w:p>
            <w:pPr>
              <w:jc w:val="left"/>
            </w:pPr>
            <w:r>
              <w:rPr>
                <w:b w:val="false"/>
                <w:bCs w:val="false"/>
                <w:sz w:val="20"/>
                <w:szCs w:val="20"/>
              </w:rPr>
              <w:t xml:space="preserve">Nivel medio de los 12 meses</w:t>
            </w:r>
          </w:p>
        </w:tc>
      </w:tr>
      <w:tr>
        <w:tc>
          <w:tcPr>
            <w:tcW w:type="dxa" w:w="2400"/>
            <w:tcMar>
              <w:top w:type="dxa" w:w="60"/>
              <w:left w:type="dxa" w:w="100"/>
              <w:bottom w:type="dxa" w:w="60"/>
              <w:right w:type="dxa" w:w="100"/>
            </w:tcMar>
          </w:tcPr>
          <w:p>
            <w:pPr>
              <w:jc w:val="left"/>
            </w:pPr>
            <w:r>
              <w:rPr>
                <w:b w:val="false"/>
                <w:bCs w:val="false"/>
                <w:sz w:val="20"/>
                <w:szCs w:val="20"/>
              </w:rPr>
              <w:t xml:space="preserve">Máximo</w:t>
            </w:r>
          </w:p>
        </w:tc>
        <w:tc>
          <w:tcPr>
            <w:tcW w:type="dxa" w:w="3160"/>
            <w:tcMar>
              <w:top w:type="dxa" w:w="60"/>
              <w:left w:type="dxa" w:w="100"/>
              <w:bottom w:type="dxa" w:w="60"/>
              <w:right w:type="dxa" w:w="100"/>
            </w:tcMar>
          </w:tcPr>
          <w:p>
            <w:pPr>
              <w:jc w:val="left"/>
            </w:pPr>
            <w:r>
              <w:rPr>
                <w:b w:val="false"/>
                <w:bCs w:val="false"/>
                <w:sz w:val="20"/>
                <w:szCs w:val="20"/>
              </w:rPr>
              <w:t xml:space="preserve">4.55 % (2026-09)</w:t>
            </w:r>
          </w:p>
        </w:tc>
        <w:tc>
          <w:tcPr>
            <w:tcW w:type="dxa" w:w="3800"/>
            <w:tcMar>
              <w:top w:type="dxa" w:w="60"/>
              <w:left w:type="dxa" w:w="100"/>
              <w:bottom w:type="dxa" w:w="60"/>
              <w:right w:type="dxa" w:w="100"/>
            </w:tcMar>
          </w:tcPr>
          <w:p>
            <w:pPr>
              <w:jc w:val="left"/>
            </w:pPr>
            <w:r>
              <w:rPr>
                <w:b w:val="false"/>
                <w:bCs w:val="false"/>
                <w:sz w:val="20"/>
                <w:szCs w:val="20"/>
              </w:rPr>
              <w:t xml:space="preserve">Punto más alto del periodo</w:t>
            </w:r>
          </w:p>
        </w:tc>
      </w:tr>
      <w:tr>
        <w:tc>
          <w:tcPr>
            <w:tcW w:type="dxa" w:w="2400"/>
            <w:tcMar>
              <w:top w:type="dxa" w:w="60"/>
              <w:left w:type="dxa" w:w="100"/>
              <w:bottom w:type="dxa" w:w="60"/>
              <w:right w:type="dxa" w:w="100"/>
            </w:tcMar>
          </w:tcPr>
          <w:p>
            <w:pPr>
              <w:jc w:val="left"/>
            </w:pPr>
            <w:r>
              <w:rPr>
                <w:b w:val="false"/>
                <w:bCs w:val="false"/>
                <w:sz w:val="20"/>
                <w:szCs w:val="20"/>
              </w:rPr>
              <w:t xml:space="preserve">Mínimo</w:t>
            </w:r>
          </w:p>
        </w:tc>
        <w:tc>
          <w:tcPr>
            <w:tcW w:type="dxa" w:w="3160"/>
            <w:tcMar>
              <w:top w:type="dxa" w:w="60"/>
              <w:left w:type="dxa" w:w="100"/>
              <w:bottom w:type="dxa" w:w="60"/>
              <w:right w:type="dxa" w:w="100"/>
            </w:tcMar>
          </w:tcPr>
          <w:p>
            <w:pPr>
              <w:jc w:val="left"/>
            </w:pPr>
            <w:r>
              <w:rPr>
                <w:b w:val="false"/>
                <w:bCs w:val="false"/>
                <w:sz w:val="20"/>
                <w:szCs w:val="20"/>
              </w:rPr>
              <w:t xml:space="preserve">1.35 % (2025-10)</w:t>
            </w:r>
          </w:p>
        </w:tc>
        <w:tc>
          <w:tcPr>
            <w:tcW w:type="dxa" w:w="3800"/>
            <w:tcMar>
              <w:top w:type="dxa" w:w="60"/>
              <w:left w:type="dxa" w:w="100"/>
              <w:bottom w:type="dxa" w:w="60"/>
              <w:right w:type="dxa" w:w="100"/>
            </w:tcMar>
          </w:tcPr>
          <w:p>
            <w:pPr>
              <w:jc w:val="left"/>
            </w:pPr>
            <w:r>
              <w:rPr>
                <w:b w:val="false"/>
                <w:bCs w:val="false"/>
                <w:sz w:val="20"/>
                <w:szCs w:val="20"/>
              </w:rPr>
              <w:t xml:space="preserve">Punto más bajo del periodo</w:t>
            </w:r>
          </w:p>
        </w:tc>
      </w:tr>
    </w:tbl>
    <w:p>
      <w:pPr>
        <w:spacing w:after="200" w:before="60"/>
      </w:pPr>
      <w:r>
        <w:rPr>
          <w:i/>
          <w:iCs/>
          <w:color w:val="595959"/>
          <w:sz w:val="18"/>
          <w:szCs w:val="18"/>
        </w:rPr>
        <w:t xml:space="preserve">“Puntos porcentuales” es la diferencia entre dos porcentajes. Pasar de 1.35 % a 4.55 % son 3.20 puntos porcentuales, no un aumento de 3.20 %.</w:t>
      </w:r>
    </w:p>
    <w:p>
      <w:pPr>
        <w:pStyle w:val="Heading1"/>
      </w:pPr>
      <w:r>
        <w:t xml:space="preserve">5. ¿Por qué importan estas cifras?</w:t>
      </w:r>
    </w:p>
    <w:p>
      <w:pPr>
        <w:spacing w:after="160" w:line="300"/>
      </w:pPr>
      <w:r>
        <w:t xml:space="preserve">La inflación no es solo un dato de economistas. Afecta decisiones concretas de las personas, las empresas y el Estado.</w:t>
      </w:r>
    </w:p>
    <w:p>
      <w:pPr>
        <w:pStyle w:val="Heading2"/>
      </w:pPr>
      <w:r>
        <w:t xml:space="preserve">Para un hogar</w:t>
      </w:r>
    </w:p>
    <w:p>
      <w:pPr>
        <w:pStyle w:val="ListParagraph"/>
        <w:numPr>
          <w:ilvl w:val="0"/>
          <w:numId w:val="3"/>
        </w:numPr>
        <w:spacing w:after="100" w:line="300"/>
      </w:pPr>
      <w:r>
        <w:t xml:space="preserve">Los sueldos, pensiones y ahorros pierden valor si no suben al mismo ritmo que los precios.</w:t>
      </w:r>
    </w:p>
    <w:p>
      <w:pPr>
        <w:pStyle w:val="ListParagraph"/>
        <w:numPr>
          <w:ilvl w:val="0"/>
          <w:numId w:val="3"/>
        </w:numPr>
        <w:spacing w:after="100" w:line="300"/>
      </w:pPr>
      <w:r>
        <w:t xml:space="preserve">Un préstamo a tasa fija puede volverse, en la práctica, más barato al pagarlo con dinero que vale menos; uno a tasa variable puede subir.</w:t>
      </w:r>
    </w:p>
    <w:p>
      <w:pPr>
        <w:pStyle w:val="ListParagraph"/>
        <w:numPr>
          <w:ilvl w:val="0"/>
          <w:numId w:val="3"/>
        </w:numPr>
        <w:spacing w:after="100" w:line="300"/>
      </w:pPr>
      <w:r>
        <w:t xml:space="preserve">Los contratos de alquiler, servicios y algunos precios regulados suelen ajustarse según la inflación.</w:t>
      </w:r>
    </w:p>
    <w:p>
      <w:pPr>
        <w:pStyle w:val="Heading2"/>
      </w:pPr>
      <w:r>
        <w:t xml:space="preserve">Para las empresas</w:t>
      </w:r>
    </w:p>
    <w:p>
      <w:pPr>
        <w:pStyle w:val="ListParagraph"/>
        <w:numPr>
          <w:ilvl w:val="0"/>
          <w:numId w:val="3"/>
        </w:numPr>
        <w:spacing w:after="100" w:line="300"/>
      </w:pPr>
      <w:r>
        <w:t xml:space="preserve">Con precios muy cambiantes es más difícil planificar compras, contratar y fijar precios de venta.</w:t>
      </w:r>
    </w:p>
    <w:p>
      <w:pPr>
        <w:pStyle w:val="ListParagraph"/>
        <w:numPr>
          <w:ilvl w:val="0"/>
          <w:numId w:val="3"/>
        </w:numPr>
        <w:spacing w:after="100" w:line="300"/>
      </w:pPr>
      <w:r>
        <w:t xml:space="preserve">Los costos de insumos y transporte suben, y no siempre es posible trasladar ese aumento al cliente.</w:t>
      </w:r>
    </w:p>
    <w:p>
      <w:pPr>
        <w:pStyle w:val="Heading2"/>
      </w:pPr>
      <w:r>
        <w:t xml:space="preserve">Para el Banco Central</w:t>
      </w:r>
    </w:p>
    <w:p>
      <w:pPr>
        <w:spacing w:after="160" w:line="300"/>
      </w:pPr>
      <w:r>
        <w:t xml:space="preserve">El BCRP tiene como objetivo mantener la inflación baja y estable. La tasa de referencia, la herramienta principal de la política monetaria, se ajusta según lo que el banco observa y espera. Este informe no analiza esas decisiones; solo presenta las cifras. El rango meta del BCRP (1 % a 3 %) no proviene de las series consultadas, así que conviene verificarlo en la publicación oficial del banco.</w:t>
      </w:r>
    </w:p>
    <w:p>
      <w:pPr>
        <w:pStyle w:val="Heading2"/>
      </w:pPr>
      <w:r>
        <w:t xml:space="preserve">Por qué importan las expectativas</w:t>
      </w:r>
    </w:p>
    <w:p>
      <w:pPr>
        <w:spacing w:after="160" w:line="300"/>
      </w:pPr>
      <w:r>
        <w:t xml:space="preserve">Las expectativas importan porque influyen en el comportamiento. Si la gente cree que los precios seguirán subiendo, pide aumentos salariales mayores y las empresas ajustan sus precios antes. Así, la expectativa puede terminar alimentando la inflación. Por eso el BCRP sigue de cerca la inflación esperada, además de la observada.</w:t>
      </w:r>
    </w:p>
    <w:p>
      <w:pPr>
        <w:spacing w:after="160" w:line="300"/>
      </w:pPr>
      <w:r>
        <w:t xml:space="preserve">En este periodo, la expectativa subió de 2.19 % a 3.09 %. Eso indica que los analistas consultados ya no ven la subida como algo pasajero.</w:t>
      </w:r>
    </w:p>
    <w:p>
      <w:pPr>
        <w:pStyle w:val="Heading1"/>
      </w:pPr>
      <w:r>
        <w:t xml:space="preserve">6. Cómo leer los promedios y extremos</w:t>
      </w:r>
    </w:p>
    <w:p>
      <w:pPr>
        <w:pStyle w:val="ListParagraph"/>
        <w:numPr>
          <w:ilvl w:val="0"/>
          <w:numId w:val="2"/>
        </w:numPr>
        <w:spacing w:after="100" w:line="300"/>
      </w:pPr>
      <w:r>
        <w:rPr>
          <w:b/>
          <w:bCs/>
        </w:rPr>
        <w:t xml:space="preserve">Promedio: </w:t>
      </w:r>
      <w:r>
        <w:t xml:space="preserve">suma de los valores de los meses dividida entre el número de meses. Resume el nivel general sin fijarse en un mes en particular.</w:t>
      </w:r>
    </w:p>
    <w:p>
      <w:pPr>
        <w:pStyle w:val="ListParagraph"/>
        <w:numPr>
          <w:ilvl w:val="0"/>
          <w:numId w:val="2"/>
        </w:numPr>
        <w:spacing w:after="100" w:line="300"/>
      </w:pPr>
      <w:r>
        <w:rPr>
          <w:b/>
          <w:bCs/>
        </w:rPr>
        <w:t xml:space="preserve">Máximo y mínimo: </w:t>
      </w:r>
      <w:r>
        <w:t xml:space="preserve">el valor más alto y el más bajo del periodo. Indican el rango en que se movió la inflación.</w:t>
      </w:r>
    </w:p>
    <w:p>
      <w:pPr>
        <w:pStyle w:val="ListParagraph"/>
        <w:numPr>
          <w:ilvl w:val="0"/>
          <w:numId w:val="2"/>
        </w:numPr>
        <w:spacing w:after="100" w:line="300"/>
      </w:pPr>
      <w:r>
        <w:rPr>
          <w:b/>
          <w:bCs/>
        </w:rPr>
        <w:t xml:space="preserve">Cambio: </w:t>
      </w:r>
      <w:r>
        <w:t xml:space="preserve">diferencia entre el último y el primer dato del periodo.</w:t>
      </w:r>
    </w:p>
    <w:p>
      <w:pPr>
        <w:spacing w:after="160" w:line="300"/>
      </w:pPr>
      <w:r>
        <w:t xml:space="preserve">En este informe, los promedios, los extremos y el cambio fueron calculados con Python a partir de las cifras oficiales del BCRP, y no a mano, para evitar errores de cálculo.</w:t>
      </w:r>
    </w:p>
    <w:p>
      <w:pPr>
        <w:pStyle w:val="Heading1"/>
      </w:pPr>
      <w:r>
        <w:t xml:space="preserve">7. Límites de estas cifras</w:t>
      </w:r>
    </w:p>
    <w:p>
      <w:pPr>
        <w:pStyle w:val="ListParagraph"/>
        <w:numPr>
          <w:ilvl w:val="0"/>
          <w:numId w:val="3"/>
        </w:numPr>
        <w:spacing w:after="100" w:line="300"/>
      </w:pPr>
      <w:r>
        <w:t xml:space="preserve">Es un promedio de Lima Metropolitana. Una familia en otra región o con gastos distintos puede tener una inflación diferente.</w:t>
      </w:r>
    </w:p>
    <w:p>
      <w:pPr>
        <w:pStyle w:val="ListParagraph"/>
        <w:numPr>
          <w:ilvl w:val="0"/>
          <w:numId w:val="3"/>
        </w:numPr>
        <w:spacing w:after="100" w:line="300"/>
      </w:pPr>
      <w:r>
        <w:t xml:space="preserve">El índice usa una canasta fija durante un periodo. Si cambian los hábitos de consumo, la canasta se actualiza con el tiempo.</w:t>
      </w:r>
    </w:p>
    <w:p>
      <w:pPr>
        <w:pStyle w:val="ListParagraph"/>
        <w:numPr>
          <w:ilvl w:val="0"/>
          <w:numId w:val="3"/>
        </w:numPr>
        <w:spacing w:after="100" w:line="300"/>
      </w:pPr>
      <w:r>
        <w:t xml:space="preserve">La inflación esperada es una encuesta. Refleja opiniones de analistas, no una certeza.</w:t>
      </w:r>
    </w:p>
    <w:p>
      <w:pPr>
        <w:pStyle w:val="ListParagraph"/>
        <w:numPr>
          <w:ilvl w:val="0"/>
          <w:numId w:val="3"/>
        </w:numPr>
        <w:spacing w:after="100" w:line="300"/>
      </w:pPr>
      <w:r>
        <w:t xml:space="preserve">Las cifras muestran relación, no causa. Que dos indicadores se muevan juntos no demuestra que uno cause el otro.</w:t>
      </w:r>
    </w:p>
    <w:p>
      <w:pPr>
        <w:pStyle w:val="ListParagraph"/>
        <w:numPr>
          <w:ilvl w:val="0"/>
          <w:numId w:val="3"/>
        </w:numPr>
        <w:spacing w:after="100" w:line="300"/>
      </w:pPr>
      <w:r>
        <w:t xml:space="preserve">El último dato disponible es de septiembre de 2026. Las cifras de octubre aún no aparecen en la consulta.</w:t>
      </w:r>
    </w:p>
    <w:p>
      <w:pPr>
        <w:pStyle w:val="Heading1"/>
      </w:pPr>
      <w:r>
        <w:t xml:space="preserve">8.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color="auto" w:val="clear"/>
            <w:tcMar>
              <w:top w:type="dxa" w:w="60"/>
              <w:left w:type="dxa" w:w="100"/>
              <w:bottom w:type="dxa" w:w="60"/>
              <w:right w:type="dxa" w:w="100"/>
            </w:tcMar>
          </w:tcPr>
          <w:p>
            <w:pPr>
              <w:jc w:val="left"/>
            </w:pPr>
            <w:r>
              <w:rPr>
                <w:b/>
                <w:bCs/>
                <w:color w:val="FFFFFF"/>
                <w:sz w:val="20"/>
                <w:szCs w:val="20"/>
              </w:rPr>
              <w:t xml:space="preserve">Término</w:t>
            </w:r>
          </w:p>
        </w:tc>
        <w:tc>
          <w:tcPr>
            <w:tcW w:type="dxa" w:w="6360"/>
            <w:shd w:fill="1F4E79" w:color="auto" w:val="clear"/>
            <w:tcMar>
              <w:top w:type="dxa" w:w="60"/>
              <w:left w:type="dxa" w:w="100"/>
              <w:bottom w:type="dxa" w:w="60"/>
              <w:right w:type="dxa" w:w="100"/>
            </w:tcMar>
          </w:tcPr>
          <w:p>
            <w:pPr>
              <w:jc w:val="left"/>
            </w:pPr>
            <w:r>
              <w:rPr>
                <w:b/>
                <w:bCs/>
                <w:color w:val="FFFFFF"/>
                <w:sz w:val="20"/>
                <w:szCs w:val="20"/>
              </w:rPr>
              <w:t xml:space="preserve">Explicación sencilla</w:t>
            </w:r>
          </w:p>
        </w:tc>
      </w:tr>
      <w:tr>
        <w:tc>
          <w:tcPr>
            <w:tcW w:type="dxa" w:w="3000"/>
            <w:tcMar>
              <w:top w:type="dxa" w:w="60"/>
              <w:left w:type="dxa" w:w="100"/>
              <w:bottom w:type="dxa" w:w="60"/>
              <w:right w:type="dxa" w:w="100"/>
            </w:tcMar>
          </w:tcPr>
          <w:p>
            <w:pPr>
              <w:jc w:val="left"/>
            </w:pPr>
            <w:r>
              <w:rPr>
                <w:b w:val="false"/>
                <w:bCs w:val="false"/>
                <w:sz w:val="20"/>
                <w:szCs w:val="20"/>
              </w:rPr>
              <w:t xml:space="preserve">Inflación</w:t>
            </w:r>
          </w:p>
        </w:tc>
        <w:tc>
          <w:tcPr>
            <w:tcW w:type="dxa" w:w="6360"/>
            <w:tcMar>
              <w:top w:type="dxa" w:w="60"/>
              <w:left w:type="dxa" w:w="100"/>
              <w:bottom w:type="dxa" w:w="60"/>
              <w:right w:type="dxa" w:w="100"/>
            </w:tcMar>
          </w:tcPr>
          <w:p>
            <w:pPr>
              <w:jc w:val="left"/>
            </w:pPr>
            <w:r>
              <w:rPr>
                <w:b w:val="false"/>
                <w:bCs w:val="false"/>
                <w:sz w:val="20"/>
                <w:szCs w:val="20"/>
              </w:rPr>
              <w:t xml:space="preserve">Aumento general y sostenido de los precios.</w:t>
            </w:r>
          </w:p>
        </w:tc>
      </w:tr>
      <w:tr>
        <w:tc>
          <w:tcPr>
            <w:tcW w:type="dxa" w:w="3000"/>
            <w:tcMar>
              <w:top w:type="dxa" w:w="60"/>
              <w:left w:type="dxa" w:w="100"/>
              <w:bottom w:type="dxa" w:w="60"/>
              <w:right w:type="dxa" w:w="100"/>
            </w:tcMar>
          </w:tcPr>
          <w:p>
            <w:pPr>
              <w:jc w:val="left"/>
            </w:pPr>
            <w:r>
              <w:rPr>
                <w:b w:val="false"/>
                <w:bCs w:val="false"/>
                <w:sz w:val="20"/>
                <w:szCs w:val="20"/>
              </w:rPr>
              <w:t xml:space="preserve">IPC (Índice de Precios al Consumidor)</w:t>
            </w:r>
          </w:p>
        </w:tc>
        <w:tc>
          <w:tcPr>
            <w:tcW w:type="dxa" w:w="6360"/>
            <w:tcMar>
              <w:top w:type="dxa" w:w="60"/>
              <w:left w:type="dxa" w:w="100"/>
              <w:bottom w:type="dxa" w:w="60"/>
              <w:right w:type="dxa" w:w="100"/>
            </w:tcMar>
          </w:tcPr>
          <w:p>
            <w:pPr>
              <w:jc w:val="left"/>
            </w:pPr>
            <w:r>
              <w:rPr>
                <w:b w:val="false"/>
                <w:bCs w:val="false"/>
                <w:sz w:val="20"/>
                <w:szCs w:val="20"/>
              </w:rPr>
              <w:t xml:space="preserve">Número que resume el costo de una canasta de consumo de los hogares.</w:t>
            </w:r>
          </w:p>
        </w:tc>
      </w:tr>
      <w:tr>
        <w:tc>
          <w:tcPr>
            <w:tcW w:type="dxa" w:w="3000"/>
            <w:tcMar>
              <w:top w:type="dxa" w:w="60"/>
              <w:left w:type="dxa" w:w="100"/>
              <w:bottom w:type="dxa" w:w="60"/>
              <w:right w:type="dxa" w:w="100"/>
            </w:tcMar>
          </w:tcPr>
          <w:p>
            <w:pPr>
              <w:jc w:val="left"/>
            </w:pPr>
            <w:r>
              <w:rPr>
                <w:b w:val="false"/>
                <w:bCs w:val="false"/>
                <w:sz w:val="20"/>
                <w:szCs w:val="20"/>
              </w:rPr>
              <w:t xml:space="preserve">Canasta</w:t>
            </w:r>
          </w:p>
        </w:tc>
        <w:tc>
          <w:tcPr>
            <w:tcW w:type="dxa" w:w="6360"/>
            <w:tcMar>
              <w:top w:type="dxa" w:w="60"/>
              <w:left w:type="dxa" w:w="100"/>
              <w:bottom w:type="dxa" w:w="60"/>
              <w:right w:type="dxa" w:w="100"/>
            </w:tcMar>
          </w:tcPr>
          <w:p>
            <w:pPr>
              <w:jc w:val="left"/>
            </w:pPr>
            <w:r>
              <w:rPr>
                <w:b w:val="false"/>
                <w:bCs w:val="false"/>
                <w:sz w:val="20"/>
                <w:szCs w:val="20"/>
              </w:rPr>
              <w:t xml:space="preserve">Conjunto de bienes y servicios que se toma como representativo del consumo de un hogar.</w:t>
            </w:r>
          </w:p>
        </w:tc>
      </w:tr>
      <w:tr>
        <w:tc>
          <w:tcPr>
            <w:tcW w:type="dxa" w:w="3000"/>
            <w:tcMar>
              <w:top w:type="dxa" w:w="60"/>
              <w:left w:type="dxa" w:w="100"/>
              <w:bottom w:type="dxa" w:w="60"/>
              <w:right w:type="dxa" w:w="100"/>
            </w:tcMar>
          </w:tcPr>
          <w:p>
            <w:pPr>
              <w:jc w:val="left"/>
            </w:pPr>
            <w:r>
              <w:rPr>
                <w:b w:val="false"/>
                <w:bCs w:val="false"/>
                <w:sz w:val="20"/>
                <w:szCs w:val="20"/>
              </w:rPr>
              <w:t xml:space="preserve">Ponderación</w:t>
            </w:r>
          </w:p>
        </w:tc>
        <w:tc>
          <w:tcPr>
            <w:tcW w:type="dxa" w:w="6360"/>
            <w:tcMar>
              <w:top w:type="dxa" w:w="60"/>
              <w:left w:type="dxa" w:w="100"/>
              <w:bottom w:type="dxa" w:w="60"/>
              <w:right w:type="dxa" w:w="100"/>
            </w:tcMar>
          </w:tcPr>
          <w:p>
            <w:pPr>
              <w:jc w:val="left"/>
            </w:pPr>
            <w:r>
              <w:rPr>
                <w:b w:val="false"/>
                <w:bCs w:val="false"/>
                <w:sz w:val="20"/>
                <w:szCs w:val="20"/>
              </w:rPr>
              <w:t xml:space="preserve">Peso que tiene cada gasto dentro del índice; los gastos grandes pesan más.</w:t>
            </w:r>
          </w:p>
        </w:tc>
      </w:tr>
      <w:tr>
        <w:tc>
          <w:tcPr>
            <w:tcW w:type="dxa" w:w="3000"/>
            <w:tcMar>
              <w:top w:type="dxa" w:w="60"/>
              <w:left w:type="dxa" w:w="100"/>
              <w:bottom w:type="dxa" w:w="60"/>
              <w:right w:type="dxa" w:w="100"/>
            </w:tcMar>
          </w:tcPr>
          <w:p>
            <w:pPr>
              <w:jc w:val="left"/>
            </w:pPr>
            <w:r>
              <w:rPr>
                <w:b w:val="false"/>
                <w:bCs w:val="false"/>
                <w:sz w:val="20"/>
                <w:szCs w:val="20"/>
              </w:rPr>
              <w:t xml:space="preserve">Variación porcentual</w:t>
            </w:r>
          </w:p>
        </w:tc>
        <w:tc>
          <w:tcPr>
            <w:tcW w:type="dxa" w:w="6360"/>
            <w:tcMar>
              <w:top w:type="dxa" w:w="60"/>
              <w:left w:type="dxa" w:w="100"/>
              <w:bottom w:type="dxa" w:w="60"/>
              <w:right w:type="dxa" w:w="100"/>
            </w:tcMar>
          </w:tcPr>
          <w:p>
            <w:pPr>
              <w:jc w:val="left"/>
            </w:pPr>
            <w:r>
              <w:rPr>
                <w:b w:val="false"/>
                <w:bCs w:val="false"/>
                <w:sz w:val="20"/>
                <w:szCs w:val="20"/>
              </w:rPr>
              <w:t xml:space="preserve">Cuánto cambió un valor frente a otro, expresado como porcentaje.</w:t>
            </w:r>
          </w:p>
        </w:tc>
      </w:tr>
      <w:tr>
        <w:tc>
          <w:tcPr>
            <w:tcW w:type="dxa" w:w="3000"/>
            <w:tcMar>
              <w:top w:type="dxa" w:w="60"/>
              <w:left w:type="dxa" w:w="100"/>
              <w:bottom w:type="dxa" w:w="60"/>
              <w:right w:type="dxa" w:w="100"/>
            </w:tcMar>
          </w:tcPr>
          <w:p>
            <w:pPr>
              <w:jc w:val="left"/>
            </w:pPr>
            <w:r>
              <w:rPr>
                <w:b w:val="false"/>
                <w:bCs w:val="false"/>
                <w:sz w:val="20"/>
                <w:szCs w:val="20"/>
              </w:rPr>
              <w:t xml:space="preserve">Puntos porcentuales</w:t>
            </w:r>
          </w:p>
        </w:tc>
        <w:tc>
          <w:tcPr>
            <w:tcW w:type="dxa" w:w="6360"/>
            <w:tcMar>
              <w:top w:type="dxa" w:w="60"/>
              <w:left w:type="dxa" w:w="100"/>
              <w:bottom w:type="dxa" w:w="60"/>
              <w:right w:type="dxa" w:w="100"/>
            </w:tcMar>
          </w:tcPr>
          <w:p>
            <w:pPr>
              <w:jc w:val="left"/>
            </w:pPr>
            <w:r>
              <w:rPr>
                <w:b w:val="false"/>
                <w:bCs w:val="false"/>
                <w:sz w:val="20"/>
                <w:szCs w:val="20"/>
              </w:rPr>
              <w:t xml:space="preserve">Diferencia entre dos porcentajes (por ejemplo, de 2 % a 5 % hay 3 puntos).</w:t>
            </w:r>
          </w:p>
        </w:tc>
      </w:tr>
      <w:tr>
        <w:tc>
          <w:tcPr>
            <w:tcW w:type="dxa" w:w="3000"/>
            <w:tcMar>
              <w:top w:type="dxa" w:w="60"/>
              <w:left w:type="dxa" w:w="100"/>
              <w:bottom w:type="dxa" w:w="60"/>
              <w:right w:type="dxa" w:w="100"/>
            </w:tcMar>
          </w:tcPr>
          <w:p>
            <w:pPr>
              <w:jc w:val="left"/>
            </w:pPr>
            <w:r>
              <w:rPr>
                <w:b w:val="false"/>
                <w:bCs w:val="false"/>
                <w:sz w:val="20"/>
                <w:szCs w:val="20"/>
              </w:rPr>
              <w:t xml:space="preserve">Inflación subyacente</w:t>
            </w:r>
          </w:p>
        </w:tc>
        <w:tc>
          <w:tcPr>
            <w:tcW w:type="dxa" w:w="6360"/>
            <w:tcMar>
              <w:top w:type="dxa" w:w="60"/>
              <w:left w:type="dxa" w:w="100"/>
              <w:bottom w:type="dxa" w:w="60"/>
              <w:right w:type="dxa" w:w="100"/>
            </w:tcMar>
          </w:tcPr>
          <w:p>
            <w:pPr>
              <w:jc w:val="left"/>
            </w:pPr>
            <w:r>
              <w:rPr>
                <w:b w:val="false"/>
                <w:bCs w:val="false"/>
                <w:sz w:val="20"/>
                <w:szCs w:val="20"/>
              </w:rPr>
              <w:t xml:space="preserve">Inflación sin los precios más volátiles, como ciertos alimentos y combustibles.</w:t>
            </w:r>
          </w:p>
        </w:tc>
      </w:tr>
      <w:tr>
        <w:tc>
          <w:tcPr>
            <w:tcW w:type="dxa" w:w="3000"/>
            <w:tcMar>
              <w:top w:type="dxa" w:w="60"/>
              <w:left w:type="dxa" w:w="100"/>
              <w:bottom w:type="dxa" w:w="60"/>
              <w:right w:type="dxa" w:w="100"/>
            </w:tcMar>
          </w:tcPr>
          <w:p>
            <w:pPr>
              <w:jc w:val="left"/>
            </w:pPr>
            <w:r>
              <w:rPr>
                <w:b w:val="false"/>
                <w:bCs w:val="false"/>
                <w:sz w:val="20"/>
                <w:szCs w:val="20"/>
              </w:rPr>
              <w:t xml:space="preserve">Expectativa de inflación</w:t>
            </w:r>
          </w:p>
        </w:tc>
        <w:tc>
          <w:tcPr>
            <w:tcW w:type="dxa" w:w="6360"/>
            <w:tcMar>
              <w:top w:type="dxa" w:w="60"/>
              <w:left w:type="dxa" w:w="100"/>
              <w:bottom w:type="dxa" w:w="60"/>
              <w:right w:type="dxa" w:w="100"/>
            </w:tcMar>
          </w:tcPr>
          <w:p>
            <w:pPr>
              <w:jc w:val="left"/>
            </w:pPr>
            <w:r>
              <w:rPr>
                <w:b w:val="false"/>
                <w:bCs w:val="false"/>
                <w:sz w:val="20"/>
                <w:szCs w:val="20"/>
              </w:rPr>
              <w:t xml:space="preserve">Lo que los analistas creen que ocurrirá con la inflación en el futuro.</w:t>
            </w:r>
          </w:p>
        </w:tc>
      </w:tr>
      <w:tr>
        <w:tc>
          <w:tcPr>
            <w:tcW w:type="dxa" w:w="3000"/>
            <w:tcMar>
              <w:top w:type="dxa" w:w="60"/>
              <w:left w:type="dxa" w:w="100"/>
              <w:bottom w:type="dxa" w:w="60"/>
              <w:right w:type="dxa" w:w="100"/>
            </w:tcMar>
          </w:tcPr>
          <w:p>
            <w:pPr>
              <w:jc w:val="left"/>
            </w:pPr>
            <w:r>
              <w:rPr>
                <w:b w:val="false"/>
                <w:bCs w:val="false"/>
                <w:sz w:val="20"/>
                <w:szCs w:val="20"/>
              </w:rPr>
              <w:t xml:space="preserve">Tasa de referencia</w:t>
            </w:r>
          </w:p>
        </w:tc>
        <w:tc>
          <w:tcPr>
            <w:tcW w:type="dxa" w:w="6360"/>
            <w:tcMar>
              <w:top w:type="dxa" w:w="60"/>
              <w:left w:type="dxa" w:w="100"/>
              <w:bottom w:type="dxa" w:w="60"/>
              <w:right w:type="dxa" w:w="100"/>
            </w:tcMar>
          </w:tcPr>
          <w:p>
            <w:pPr>
              <w:jc w:val="left"/>
            </w:pPr>
            <w:r>
              <w:rPr>
                <w:b w:val="false"/>
                <w:bCs w:val="false"/>
                <w:sz w:val="20"/>
                <w:szCs w:val="20"/>
              </w:rPr>
              <w:t xml:space="preserve">Tasa de interés que fija el BCRP y que sirve de guía para el resto de tasas.</w:t>
            </w:r>
          </w:p>
        </w:tc>
      </w:tr>
      <w:tr>
        <w:tc>
          <w:tcPr>
            <w:tcW w:type="dxa" w:w="3000"/>
            <w:tcMar>
              <w:top w:type="dxa" w:w="60"/>
              <w:left w:type="dxa" w:w="100"/>
              <w:bottom w:type="dxa" w:w="60"/>
              <w:right w:type="dxa" w:w="100"/>
            </w:tcMar>
          </w:tcPr>
          <w:p>
            <w:pPr>
              <w:jc w:val="left"/>
            </w:pPr>
            <w:r>
              <w:rPr>
                <w:b w:val="false"/>
                <w:bCs w:val="false"/>
                <w:sz w:val="20"/>
                <w:szCs w:val="20"/>
              </w:rPr>
              <w:t xml:space="preserve">Serie (del BCRP)</w:t>
            </w:r>
          </w:p>
        </w:tc>
        <w:tc>
          <w:tcPr>
            <w:tcW w:type="dxa" w:w="6360"/>
            <w:tcMar>
              <w:top w:type="dxa" w:w="60"/>
              <w:left w:type="dxa" w:w="100"/>
              <w:bottom w:type="dxa" w:w="60"/>
              <w:right w:type="dxa" w:w="100"/>
            </w:tcMar>
          </w:tcPr>
          <w:p>
            <w:pPr>
              <w:jc w:val="left"/>
            </w:pPr>
            <w:r>
              <w:rPr>
                <w:b w:val="false"/>
                <w:bCs w:val="false"/>
                <w:sz w:val="20"/>
                <w:szCs w:val="20"/>
              </w:rPr>
              <w:t xml:space="preserve">Conjunto de datos de un mismo indicador, ordenados por fecha, con un código propio.</w:t>
            </w:r>
          </w:p>
        </w:tc>
      </w:tr>
    </w:tbl>
    <w:p>
      <w:pPr>
        <w:pStyle w:val="Heading1"/>
      </w:pPr>
      <w:r>
        <w:t xml:space="preserve">9. Fuentes y códigos</w:t>
      </w:r>
    </w:p>
    <w:p>
      <w:pPr>
        <w:pStyle w:val="ListParagraph"/>
        <w:numPr>
          <w:ilvl w:val="0"/>
          <w:numId w:val="3"/>
        </w:numPr>
        <w:spacing w:after="100" w:line="300"/>
      </w:pPr>
      <w:r>
        <w:t xml:space="preserve">PN01273PM: IPC Lima Metropolitana, variación porcentual de 12 meses (BCRP).</w:t>
      </w:r>
    </w:p>
    <w:p>
      <w:pPr>
        <w:pStyle w:val="ListParagraph"/>
        <w:numPr>
          <w:ilvl w:val="0"/>
          <w:numId w:val="3"/>
        </w:numPr>
        <w:spacing w:after="100" w:line="300"/>
      </w:pPr>
      <w:r>
        <w:t xml:space="preserve">PD12912AM: Expectativa de inflación a 12 meses (BCRP, Expectativas macroeconómicas).</w:t>
      </w:r>
    </w:p>
    <w:p>
      <w:pPr>
        <w:pStyle w:val="ListParagraph"/>
        <w:numPr>
          <w:ilvl w:val="0"/>
          <w:numId w:val="3"/>
        </w:numPr>
        <w:spacing w:after="100" w:line="300"/>
      </w:pPr>
      <w:r>
        <w:t xml:space="preserve">PN01271PM y PN01272PM: IPC, variación mensual y acumulada (BCRP), mencionadas como referencia.</w:t>
      </w:r>
    </w:p>
    <w:p>
      <w:pPr>
        <w:pStyle w:val="ListParagraph"/>
        <w:numPr>
          <w:ilvl w:val="0"/>
          <w:numId w:val="3"/>
        </w:numPr>
        <w:spacing w:after="100" w:line="300"/>
      </w:pPr>
      <w:r>
        <w:t xml:space="preserve">Estadísticas del BCRP: https://estadisticas.bcrp.gob.pe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Fuente: BCRP · Página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inflación en Lima</dc:title>
  <dc:creator>Claude</dc:creator>
  <dc:description>Informe para no especialistas sobre inflación y expectativas, con datos del BCRP</dc:description>
  <cp:lastModifiedBy>Un-named</cp:lastModifiedBy>
  <cp:revision>1</cp:revision>
  <dcterms:created xsi:type="dcterms:W3CDTF">2026-10-29T02:12:16.641Z</dcterms:created>
  <dcterms:modified xsi:type="dcterms:W3CDTF">2026-10-29T02:12:16.642Z</dcterms:modified>
</cp:coreProperties>
</file>

<file path=docProps/custom.xml><?xml version="1.0" encoding="utf-8"?>
<Properties xmlns="http://schemas.openxmlformats.org/officeDocument/2006/custom-properties" xmlns:vt="http://schemas.openxmlformats.org/officeDocument/2006/docPropsVTypes"/>
</file>