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acima do painel, com curadoria manual de links do portal da SENAPPEN relacionados à Onasp, à Rede de Ouvidorias e aos canais de atendimento, em blocos curtos sem marcadores;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demandas, com os normativos basilares atualmente disponíveis na pasta documental correspondente, no mesmo padrão de blocos curtos sem marcadores;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Inserir, acima do painel de tratamento de demandas,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com curadoria manual de notícias do portal da SENAPPEN, em blocos curtos sem marcadores, com link em destaque e descrição breve.</w:t>
      </w:r>
    </w:p>
    <w:p>
      <w:pPr>
        <w:pStyle w:val="Compact"/>
        <w:numPr>
          <w:ilvl w:val="0"/>
          <w:numId w:val="1004"/>
        </w:numPr>
      </w:pPr>
      <w:r>
        <w:t xml:space="preserve">Inserir, abaixo do painel de tratamento de demandas,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com os normativos basilares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, no mesmo padrão visual de blocos curtos sem marcadores.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Após a seção</w:t>
      </w:r>
      <w:r>
        <w:t xml:space="preserve"> </w:t>
      </w:r>
      <w:r>
        <w:rPr>
          <w:rStyle w:val="VerbatimChar"/>
        </w:rPr>
        <w:t xml:space="preserve">Eixos de atuação</w:t>
      </w:r>
      <w:r>
        <w:t xml:space="preserve">, a subpágina do Plano deve incluir o quadro</w:t>
      </w:r>
      <w:r>
        <w:t xml:space="preserve"> </w:t>
      </w:r>
      <w:r>
        <w:rPr>
          <w:rStyle w:val="VerbatimChar"/>
        </w:rPr>
        <w:t xml:space="preserve">Documentação/Plano_pena_justa.png</w:t>
      </w:r>
      <w:r>
        <w:t xml:space="preserve">, com breve texto introdutório acima e síntese textual logo abaixo, sem depender apenas da leitura da imagem.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subpágina do Pena Justa, do quadro de eixos e metas com foco nos eixos 2 e 4;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inclusão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1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-subpágina-plano-pena-justa"/>
    <w:p>
      <w:pPr>
        <w:pStyle w:val="Heading3"/>
      </w:pPr>
      <w:r>
        <w:t xml:space="preserve">Artes da subpágina Plano Pena Justa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Documentação/Plano_pena_justa.png</w:t>
      </w:r>
    </w:p>
    <w:bookmarkEnd w:id="29"/>
    <w:bookmarkStart w:id="30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Documentação/Banner_Ema_Presidio_Evaristo.png</w:t>
      </w:r>
    </w:p>
    <w:bookmarkEnd w:id="30"/>
    <w:bookmarkEnd w:id="31"/>
    <w:bookmarkStart w:id="32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Documentação/SEI_35491773_Despacho_486.pdf</w:t>
      </w:r>
    </w:p>
    <w:bookmarkEnd w:id="32"/>
    <w:bookmarkStart w:id="33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9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9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9"/>
        </w:numPr>
      </w:pPr>
      <w:r>
        <w:t xml:space="preserve">observações de curadoria interna, diagnóstico ou memória operacional como se fossem conteúdo público.</w:t>
      </w:r>
    </w:p>
    <w:bookmarkEnd w:id="33"/>
    <w:bookmarkStart w:id="34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20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3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5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6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8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30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fica abaixo do painel de tratamento de demandas.</w:t>
      </w:r>
    </w:p>
    <w:p>
      <w:pPr>
        <w:pStyle w:val="Compact"/>
        <w:numPr>
          <w:ilvl w:val="0"/>
          <w:numId w:val="1031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4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7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8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9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40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1"/>
        </w:numPr>
      </w:pPr>
      <w:r>
        <w:t xml:space="preserve">Foi feita leitura final para eliminar erro de digitação, inconsistência de nome de arquivo ou divergência de nomenclatura.</w:t>
      </w:r>
    </w:p>
    <w:bookmarkEnd w:id="34"/>
    <w:bookmarkStart w:id="35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2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3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4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5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6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5"/>
    <w:bookmarkStart w:id="36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7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7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7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7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7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Não usar o diário de bordo como documento principal de instrução externa; ele deve permanecer como memória interna.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2026-05-13T12:57:56Z</dcterms:created>
  <dcterms:modified xsi:type="dcterms:W3CDTF">2026-05-13T12:57:56Z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