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19"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bookmarkEnd w:id="14"/>
    <w:bookmarkStart w:id="15" w:name="X10cfb45348f17ff5e2a336b10d512ec329838cc"/>
    <w:p>
      <w:pPr>
        <w:pStyle w:val="Heading3"/>
      </w:pPr>
      <w:r>
        <w:t xml:space="preserve">Bloco 6 -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5"/>
    <w:bookmarkStart w:id="16" w:name="bloco-7---plano-de-metas-2026"/>
    <w:p>
      <w:pPr>
        <w:pStyle w:val="Heading3"/>
      </w:pPr>
      <w:r>
        <w:t xml:space="preserve">Bloco 7 -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6"/>
    <w:bookmarkStart w:id="17" w:name="bloco-8---relatórios-de-gestão"/>
    <w:p>
      <w:pPr>
        <w:pStyle w:val="Heading3"/>
      </w:pPr>
      <w:r>
        <w:t xml:space="preserve">Bloco 8 -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2"/>
        </w:numPr>
      </w:pPr>
      <w:r>
        <w:t xml:space="preserve">2025: https://www.gov.br/senappen/pt-br/acesso-a-informacao/participacao-social/ouvidoria/relatorio-de-gestao-de-ouvidoria</w:t>
      </w:r>
    </w:p>
    <w:p>
      <w:pPr>
        <w:pStyle w:val="Compact"/>
        <w:numPr>
          <w:ilvl w:val="0"/>
          <w:numId w:val="1002"/>
        </w:numPr>
      </w:pPr>
      <w:r>
        <w:t xml:space="preserve">2024: https://www.gov.br/senappen/pt-br/acesso-a-informacao/participacao-social/ouvidoria/relatorio-de-gestao-de-ouvidoria</w:t>
      </w:r>
    </w:p>
    <w:p>
      <w:pPr>
        <w:pStyle w:val="Compact"/>
        <w:numPr>
          <w:ilvl w:val="0"/>
          <w:numId w:val="1002"/>
        </w:numPr>
      </w:pPr>
      <w:r>
        <w:t xml:space="preserve">2023: https://www.gov.br/senappen/pt-br/acesso-a-informacao/participacao-social/ouvidoria/relatorio-de-gestao-de-ouvidoria</w:t>
      </w:r>
    </w:p>
    <w:bookmarkEnd w:id="17"/>
    <w:bookmarkStart w:id="18" w:name="Xf8c04e3f5703c62803234b98626596682d8e738"/>
    <w:p>
      <w:pPr>
        <w:pStyle w:val="Heading3"/>
      </w:pPr>
      <w:r>
        <w:t xml:space="preserve">Bloco 9 -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8"/>
    <w:bookmarkEnd w:id="19"/>
    <w:bookmarkStart w:id="20"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3"/>
        </w:numPr>
      </w:pPr>
      <w:r>
        <w:t xml:space="preserve">Atuar como espaço de difusão de referências técnicas úteis às ouvidorias de serviços penais.</w:t>
      </w:r>
    </w:p>
    <w:p>
      <w:pPr>
        <w:pStyle w:val="Compact"/>
        <w:numPr>
          <w:ilvl w:val="0"/>
          <w:numId w:val="1003"/>
        </w:numPr>
      </w:pPr>
      <w:r>
        <w:t xml:space="preserve">Fomentar o compartilhamento de práticas, fluxos e instrumentos voltados ao atendimento e ao encaminhamento de manifestações.</w:t>
      </w:r>
    </w:p>
    <w:p>
      <w:pPr>
        <w:pStyle w:val="Compact"/>
        <w:numPr>
          <w:ilvl w:val="0"/>
          <w:numId w:val="1003"/>
        </w:numPr>
      </w:pPr>
      <w:r>
        <w:t xml:space="preserve">Estimular a cooperação entre a União, os Estados e o Distrito Federal para o aprimoramento da atuação institucional.</w:t>
      </w:r>
    </w:p>
    <w:p>
      <w:pPr>
        <w:pStyle w:val="Compact"/>
        <w:numPr>
          <w:ilvl w:val="0"/>
          <w:numId w:val="1003"/>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4"/>
        </w:numPr>
      </w:pPr>
      <w:r>
        <w:t xml:space="preserve">Documentação/Banner_Renospen_1.jpeg</w:t>
      </w:r>
    </w:p>
    <w:p>
      <w:pPr>
        <w:pStyle w:val="Compact"/>
        <w:numPr>
          <w:ilvl w:val="0"/>
          <w:numId w:val="1004"/>
        </w:numPr>
      </w:pPr>
      <w:r>
        <w:t xml:space="preserve">Documentação/Banner_Renospen_2.jpeg</w:t>
      </w:r>
    </w:p>
    <w:p>
      <w:pPr>
        <w:pStyle w:val="Compact"/>
        <w:numPr>
          <w:ilvl w:val="0"/>
          <w:numId w:val="1004"/>
        </w:numPr>
      </w:pPr>
      <w:r>
        <w:t xml:space="preserve">Documentação/Banner_Renospen_3.jpeg</w:t>
      </w:r>
    </w:p>
    <w:p>
      <w:pPr>
        <w:pStyle w:val="FirstParagraph"/>
      </w:pPr>
      <w:r>
        <w:t xml:space="preserve">Ordem e destaque sugeridos:</w:t>
      </w:r>
    </w:p>
    <w:p>
      <w:pPr>
        <w:pStyle w:val="Compact"/>
        <w:numPr>
          <w:ilvl w:val="0"/>
          <w:numId w:val="1005"/>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5"/>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6"/>
        </w:numPr>
      </w:pPr>
      <w:r>
        <w:t xml:space="preserve">Clique e acesse a Instrução Normativa nº 75/2026: Subpages/Pena_justa/SEI_35153985_Instrucao_Normativa_75.pdf</w:t>
      </w:r>
    </w:p>
    <w:p>
      <w:pPr>
        <w:pStyle w:val="Compact"/>
        <w:numPr>
          <w:ilvl w:val="0"/>
          <w:numId w:val="1006"/>
        </w:numPr>
      </w:pPr>
      <w:r>
        <w:t xml:space="preserve">Clique e acesse a Portaria nº 549/2026 - Renospen: Subpages/Pena_justa/SEI_35032761_Portaria_549.pdf</w:t>
      </w:r>
    </w:p>
    <w:p>
      <w:pPr>
        <w:pStyle w:val="Compact"/>
        <w:numPr>
          <w:ilvl w:val="0"/>
          <w:numId w:val="1006"/>
        </w:numPr>
      </w:pPr>
      <w:r>
        <w:t xml:space="preserve">Clique e acesse o Plano Nacional Pena Justa: Subpages/Pena_justa/Plano_Nacional_Pena_Justa.pdf</w:t>
      </w:r>
    </w:p>
    <w:bookmarkEnd w:id="20"/>
    <w:bookmarkStart w:id="21"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07"/>
        </w:numPr>
      </w:pPr>
      <w:r>
        <w:t xml:space="preserve">Monitorar e acompanhar as estratégias adotadas pelo Estado Brasileiro para o cumprimento das decisões do SIDH em relação ao sistema penal.</w:t>
      </w:r>
    </w:p>
    <w:p>
      <w:pPr>
        <w:pStyle w:val="Compact"/>
        <w:numPr>
          <w:ilvl w:val="0"/>
          <w:numId w:val="1007"/>
        </w:numPr>
      </w:pPr>
      <w:r>
        <w:t xml:space="preserve">Prevenir e evitar possíveis condenações.</w:t>
      </w:r>
    </w:p>
    <w:p>
      <w:pPr>
        <w:pStyle w:val="Compact"/>
        <w:numPr>
          <w:ilvl w:val="0"/>
          <w:numId w:val="1007"/>
        </w:numPr>
      </w:pPr>
      <w:r>
        <w:t xml:space="preserve">Propagar a cultura de Direitos Humanos, fomentando a aplicação dos Tratados Internacionais sobre a matéria de Direito Penal pelos gestores do sistema penal nacional.</w:t>
      </w:r>
    </w:p>
    <w:p>
      <w:pPr>
        <w:pStyle w:val="Compact"/>
        <w:numPr>
          <w:ilvl w:val="0"/>
          <w:numId w:val="1007"/>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08"/>
        </w:numPr>
      </w:pPr>
      <w:r>
        <w:t xml:space="preserve">Documentação/Banner_Ema.jpg</w:t>
      </w:r>
    </w:p>
    <w:p>
      <w:pPr>
        <w:pStyle w:val="Compact"/>
        <w:numPr>
          <w:ilvl w:val="0"/>
          <w:numId w:val="1008"/>
        </w:numPr>
      </w:pPr>
      <w:r>
        <w:t xml:space="preserve">Documentação/Banner_Ema_2.jpg</w:t>
      </w:r>
    </w:p>
    <w:p>
      <w:pPr>
        <w:pStyle w:val="FirstParagraph"/>
      </w:pPr>
      <w:r>
        <w:t xml:space="preserve">Textos alternativos sugeridos:</w:t>
      </w:r>
    </w:p>
    <w:p>
      <w:pPr>
        <w:pStyle w:val="Compact"/>
        <w:numPr>
          <w:ilvl w:val="0"/>
          <w:numId w:val="1009"/>
        </w:numPr>
      </w:pPr>
      <w:r>
        <w:t xml:space="preserve">Participantes reunidos em mesa de trabalho institucional acompanhada pela EMA - SENAPPEN.</w:t>
      </w:r>
    </w:p>
    <w:p>
      <w:pPr>
        <w:pStyle w:val="Compact"/>
        <w:numPr>
          <w:ilvl w:val="0"/>
          <w:numId w:val="1009"/>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0"/>
        </w:numPr>
      </w:pPr>
      <w:r>
        <w:t xml:space="preserve">Reunião institucional acompanhada pela EMA - SENAPPEN.</w:t>
      </w:r>
    </w:p>
    <w:p>
      <w:pPr>
        <w:pStyle w:val="Compact"/>
        <w:numPr>
          <w:ilvl w:val="0"/>
          <w:numId w:val="1010"/>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1"/>
        </w:numPr>
      </w:pPr>
      <w:r>
        <w:t xml:space="preserve">Superlotação e ambiência no sistema prisional.</w:t>
      </w:r>
    </w:p>
    <w:p>
      <w:pPr>
        <w:pStyle w:val="Compact"/>
        <w:numPr>
          <w:ilvl w:val="0"/>
          <w:numId w:val="1011"/>
        </w:numPr>
      </w:pPr>
      <w:r>
        <w:t xml:space="preserve">Dignidade e condições de custódia.</w:t>
      </w:r>
    </w:p>
    <w:p>
      <w:pPr>
        <w:pStyle w:val="Compact"/>
        <w:numPr>
          <w:ilvl w:val="0"/>
          <w:numId w:val="1011"/>
        </w:numPr>
      </w:pPr>
      <w:r>
        <w:t xml:space="preserve">Acesso à justiça e prevenção à tortura.</w:t>
      </w:r>
    </w:p>
    <w:p>
      <w:pPr>
        <w:pStyle w:val="Compact"/>
        <w:numPr>
          <w:ilvl w:val="0"/>
          <w:numId w:val="1011"/>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2"/>
        </w:numPr>
      </w:pPr>
      <w:r>
        <w:t xml:space="preserve">O que é a CIDH?: https://www.oas.org/pt/cidh/mandato/que.asp</w:t>
      </w:r>
    </w:p>
    <w:p>
      <w:pPr>
        <w:pStyle w:val="Compact"/>
        <w:numPr>
          <w:ilvl w:val="0"/>
          <w:numId w:val="1012"/>
        </w:numPr>
      </w:pPr>
      <w:r>
        <w:t xml:space="preserve">O que é a Corte IDH?: https://www.corteidh.or.cr/que_es_la_corte.cfm?lang=pt</w:t>
      </w:r>
    </w:p>
    <w:p>
      <w:pPr>
        <w:pStyle w:val="Compact"/>
        <w:numPr>
          <w:ilvl w:val="0"/>
          <w:numId w:val="1012"/>
        </w:numPr>
      </w:pPr>
      <w:r>
        <w:t xml:space="preserve">Estatuto da Comissão Interamericana de Direitos Humanos: https://www.oas.org/pt/cidh/mandato/Basicos/estatutoCIDH.asp</w:t>
      </w:r>
    </w:p>
    <w:p>
      <w:pPr>
        <w:pStyle w:val="Compact"/>
        <w:numPr>
          <w:ilvl w:val="0"/>
          <w:numId w:val="1012"/>
        </w:numPr>
      </w:pPr>
      <w:r>
        <w:t xml:space="preserve">Declaração Americana de Direitos e Deveres do Homem: https://www.oas.org/pt/cidh/mandato/Basicos/declaracion.asp</w:t>
      </w:r>
    </w:p>
    <w:p>
      <w:pPr>
        <w:pStyle w:val="FirstParagraph"/>
      </w:pPr>
      <w:r>
        <w:t xml:space="preserve">Seção:</w:t>
      </w:r>
    </w:p>
    <w:bookmarkEnd w:id="21"/>
    <w:bookmarkStart w:id="22"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3"/>
        </w:numPr>
      </w:pPr>
      <w:r>
        <w:t xml:space="preserve">Controle da entrada e das vagas do sistema prisional.</w:t>
      </w:r>
    </w:p>
    <w:p>
      <w:pPr>
        <w:pStyle w:val="Compact"/>
        <w:numPr>
          <w:ilvl w:val="0"/>
          <w:numId w:val="1013"/>
        </w:numPr>
      </w:pPr>
      <w:r>
        <w:t xml:space="preserve">Qualidade da ambiência, dos serviços prestados e da estrutura prisional.</w:t>
      </w:r>
    </w:p>
    <w:p>
      <w:pPr>
        <w:pStyle w:val="Compact"/>
        <w:numPr>
          <w:ilvl w:val="0"/>
          <w:numId w:val="1013"/>
        </w:numPr>
      </w:pPr>
      <w:r>
        <w:t xml:space="preserve">Processos de saída da prisão e de reintegração social.</w:t>
      </w:r>
    </w:p>
    <w:p>
      <w:pPr>
        <w:pStyle w:val="Compact"/>
        <w:numPr>
          <w:ilvl w:val="0"/>
          <w:numId w:val="1013"/>
        </w:numPr>
      </w:pPr>
      <w:r>
        <w:t xml:space="preserve">Políticas de não repetição do Estado de Coisas Inconstitucional no sistema prisional.</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4"/>
        </w:numPr>
      </w:pPr>
      <w:r>
        <w:t xml:space="preserve">Plano Nacional Pena Justa (PDF): Subpages/Pena_justa/Plano_Nacional_Pena_Justa.pdf</w:t>
      </w:r>
    </w:p>
    <w:p>
      <w:pPr>
        <w:pStyle w:val="Compact"/>
        <w:numPr>
          <w:ilvl w:val="0"/>
          <w:numId w:val="1014"/>
        </w:numPr>
      </w:pPr>
      <w:r>
        <w:t xml:space="preserve">10 coisas que você precisa saber sobre o Pena Justa (PDF): Subpages/Pena_justa/10_Coisas_que_você_precisa_saber_sobre_o_Pena_Justa.pdf</w:t>
      </w:r>
    </w:p>
    <w:bookmarkEnd w:id="22"/>
    <w:bookmarkStart w:id="23"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15"/>
        </w:numPr>
      </w:pPr>
      <w:r>
        <w:t xml:space="preserve">Portal oficial da Revista Brasileira de Execução Penal: https://rbepsenappen.mj.gov.br/index.php/RBEP/pt_BR</w:t>
      </w:r>
    </w:p>
    <w:p>
      <w:pPr>
        <w:pStyle w:val="Compact"/>
        <w:numPr>
          <w:ilvl w:val="0"/>
          <w:numId w:val="1015"/>
        </w:numPr>
      </w:pPr>
      <w:r>
        <w:t xml:space="preserve">Edição atual - edição completa: https://rbepsenappen.mj.gov.br/index.php/RBEP/pt_BR/issue/view/22/58</w:t>
      </w:r>
    </w:p>
    <w:p>
      <w:pPr>
        <w:pStyle w:val="Compact"/>
        <w:numPr>
          <w:ilvl w:val="0"/>
          <w:numId w:val="1015"/>
        </w:numPr>
      </w:pPr>
      <w:r>
        <w:t xml:space="preserve">Ver todas as edições: https://rbepsenappen.mj.gov.br/index.php/RBEP/pt_BR/issue/archive</w:t>
      </w:r>
    </w:p>
    <w:p>
      <w:pPr>
        <w:pStyle w:val="Compact"/>
        <w:numPr>
          <w:ilvl w:val="0"/>
          <w:numId w:val="1015"/>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16"/>
        </w:numPr>
      </w:pPr>
      <w:r>
        <w:t xml:space="preserve">Qualis Capes 2021-2024: A4.</w:t>
      </w:r>
    </w:p>
    <w:p>
      <w:pPr>
        <w:pStyle w:val="Compact"/>
        <w:numPr>
          <w:ilvl w:val="0"/>
          <w:numId w:val="1016"/>
        </w:numPr>
      </w:pPr>
      <w:r>
        <w:t xml:space="preserve">ISSN: 2675-1895.</w:t>
      </w:r>
    </w:p>
    <w:p>
      <w:pPr>
        <w:pStyle w:val="Compact"/>
        <w:numPr>
          <w:ilvl w:val="0"/>
          <w:numId w:val="1016"/>
        </w:numPr>
      </w:pPr>
      <w:r>
        <w:t xml:space="preserve">e-ISSN: 2675-1860.</w:t>
      </w:r>
    </w:p>
    <w:p>
      <w:pPr>
        <w:pStyle w:val="Compact"/>
        <w:numPr>
          <w:ilvl w:val="0"/>
          <w:numId w:val="1016"/>
        </w:numPr>
      </w:pPr>
      <w:r>
        <w:t xml:space="preserve">Contato da revista: rbep@mj.gov.br.</w:t>
      </w:r>
    </w:p>
    <w:bookmarkEnd w:id="23"/>
    <w:bookmarkStart w:id="24"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24"/>
    <w:bookmarkStart w:id="25"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2026-05-12T19:57:30Z</dcterms:created>
  <dcterms:modified xsi:type="dcterms:W3CDTF">2026-05-12T19:57:30Z</dcterms:modified>
</cp:coreProperties>
</file>

<file path=docProps/custom.xml><?xml version="1.0" encoding="utf-8"?>
<Properties xmlns="http://schemas.openxmlformats.org/officeDocument/2006/custom-properties" xmlns:vt="http://schemas.openxmlformats.org/officeDocument/2006/docPropsVTypes"/>
</file>