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8"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19" w:name="X53583b821a0a3fdc6c987398bb240b1b43b94e3"/>
    <w:p>
      <w:pPr>
        <w:pStyle w:val="Heading3"/>
      </w:pPr>
      <w:r>
        <w:t xml:space="preserve">Bloco 10 -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9"/>
    <w:bookmarkStart w:id="20" w:name="bloco-11---normativos"/>
    <w:p>
      <w:pPr>
        <w:pStyle w:val="Heading3"/>
      </w:pPr>
      <w:r>
        <w:t xml:space="preserve">Bloco 11 - Normativos</w:t>
      </w:r>
    </w:p>
    <w:p>
      <w:pPr>
        <w:pStyle w:val="FirstParagraph"/>
      </w:pPr>
      <w:r>
        <w:t xml:space="preserve">Título da seção:</w:t>
      </w:r>
    </w:p>
    <w:p>
      <w:pPr>
        <w:pStyle w:val="BodyText"/>
      </w:pPr>
      <w:r>
        <w:t xml:space="preserve">Normativos</w:t>
      </w:r>
    </w:p>
    <w:p>
      <w:pPr>
        <w:pStyle w:val="BodyText"/>
      </w:pPr>
      <w:r>
        <w:t xml:space="preserve">Linha de atualização sugerida:</w:t>
      </w:r>
    </w:p>
    <w:p>
      <w:pPr>
        <w:pStyle w:val="BodyText"/>
      </w:pPr>
      <w:r>
        <w:t xml:space="preserve">Publicado em 13/05/2026</w:t>
      </w:r>
    </w:p>
    <w:p>
      <w:pPr>
        <w:pStyle w:val="BodyText"/>
      </w:pPr>
      <w:r>
        <w:t xml:space="preserve">Atualizado em 13/05/2026</w:t>
      </w:r>
    </w:p>
    <w:p>
      <w:pPr>
        <w:pStyle w:val="BodyText"/>
      </w:pPr>
      <w:r>
        <w:t xml:space="preserve">Padrão visual recomendado para publicação:</w:t>
      </w:r>
    </w:p>
    <w:p>
      <w:pPr>
        <w:pStyle w:val="BodyText"/>
      </w:pPr>
      <w:r>
        <w:t xml:space="preserve">Apresentar abaixo do painel em tabela editorial inspirada na página</w:t>
      </w:r>
      <w:r>
        <w:t xml:space="preserve"> </w:t>
      </w:r>
      <w:r>
        <w:rPr>
          <w:rStyle w:val="VerbatimChar"/>
        </w:rPr>
        <w:t xml:space="preserve">Normativos</w:t>
      </w:r>
      <w:r>
        <w:t xml:space="preserve"> </w:t>
      </w:r>
      <w:r>
        <w:t xml:space="preserve">da ESPEN, com colunas</w:t>
      </w:r>
      <w:r>
        <w:t xml:space="preserve"> </w:t>
      </w:r>
      <w:r>
        <w:rPr>
          <w:rStyle w:val="VerbatimChar"/>
        </w:rPr>
        <w:t xml:space="preserve">Título</w:t>
      </w:r>
      <w:r>
        <w:t xml:space="preserve">,</w:t>
      </w:r>
      <w:r>
        <w:t xml:space="preserve"> </w:t>
      </w:r>
      <w:r>
        <w:rPr>
          <w:rStyle w:val="VerbatimChar"/>
        </w:rPr>
        <w:t xml:space="preserve">Tipo</w:t>
      </w:r>
      <w:r>
        <w:t xml:space="preserve"> </w:t>
      </w:r>
      <w:r>
        <w:t xml:space="preserve">e</w:t>
      </w:r>
      <w:r>
        <w:t xml:space="preserve"> </w:t>
      </w:r>
      <w:r>
        <w:rPr>
          <w:rStyle w:val="VerbatimChar"/>
        </w:rPr>
        <w:t xml:space="preserve">Descrição</w:t>
      </w:r>
      <w:r>
        <w:t xml:space="preserve">. Para os seis itens abaixo, o campo</w:t>
      </w:r>
      <w:r>
        <w:t xml:space="preserve"> </w:t>
      </w:r>
      <w:r>
        <w:rPr>
          <w:rStyle w:val="VerbatimChar"/>
        </w:rPr>
        <w:t xml:space="preserve">Tipo</w:t>
      </w:r>
      <w:r>
        <w:t xml:space="preserve"> </w:t>
      </w:r>
      <w:r>
        <w:t xml:space="preserve">pode ser publicado como</w:t>
      </w:r>
      <w:r>
        <w:t xml:space="preserve"> </w:t>
      </w:r>
      <w:r>
        <w:rPr>
          <w:rStyle w:val="VerbatimChar"/>
        </w:rPr>
        <w:t xml:space="preserve">Arquivo</w:t>
      </w:r>
      <w:r>
        <w:t xml:space="preserve">.</w:t>
      </w:r>
    </w:p>
    <w:p>
      <w:pPr>
        <w:pStyle w:val="BodyText"/>
      </w:pPr>
      <w:r>
        <w:t xml:space="preserve">Links a publicar:</w:t>
      </w:r>
    </w:p>
    <w:p>
      <w:pPr>
        <w:pStyle w:val="Compact"/>
        <w:numPr>
          <w:ilvl w:val="0"/>
          <w:numId w:val="1005"/>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05"/>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05"/>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05"/>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p>
      <w:pPr>
        <w:pStyle w:val="Compact"/>
        <w:numPr>
          <w:ilvl w:val="0"/>
          <w:numId w:val="1005"/>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05"/>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bookmarkEnd w:id="20"/>
    <w:bookmarkStart w:id="27" w:name="bloco-12---notícias-da-ouvidoria"/>
    <w:p>
      <w:pPr>
        <w:pStyle w:val="Heading3"/>
      </w:pPr>
      <w:r>
        <w:t xml:space="preserve">Bloco 12 - Notícias da Ouvidoria</w:t>
      </w:r>
    </w:p>
    <w:p>
      <w:pPr>
        <w:pStyle w:val="FirstParagraph"/>
      </w:pPr>
      <w:r>
        <w:t xml:space="preserve">Título da seção:</w:t>
      </w:r>
    </w:p>
    <w:p>
      <w:pPr>
        <w:pStyle w:val="BodyText"/>
      </w:pPr>
      <w:r>
        <w:t xml:space="preserve">Notícias da Ouvidoria</w:t>
      </w:r>
    </w:p>
    <w:p>
      <w:pPr>
        <w:pStyle w:val="BodyText"/>
      </w:pPr>
      <w:r>
        <w:t xml:space="preserve">Posicionamento na página:</w:t>
      </w:r>
    </w:p>
    <w:p>
      <w:pPr>
        <w:pStyle w:val="BodyText"/>
      </w:pPr>
      <w:r>
        <w:t xml:space="preserve">Último bloco da homepage, abaixo de</w:t>
      </w:r>
      <w:r>
        <w:t xml:space="preserve"> </w:t>
      </w:r>
      <w:r>
        <w:rPr>
          <w:rStyle w:val="VerbatimChar"/>
        </w:rPr>
        <w:t xml:space="preserve">Normativos</w:t>
      </w:r>
      <w:r>
        <w:t xml:space="preserve">.</w:t>
      </w:r>
    </w:p>
    <w:p>
      <w:pPr>
        <w:pStyle w:val="BodyText"/>
      </w:pPr>
      <w:r>
        <w:t xml:space="preserve">Texto introdutório sugerido:</w:t>
      </w:r>
    </w:p>
    <w:p>
      <w:pPr>
        <w:pStyle w:val="BodyText"/>
      </w:pPr>
      <w:r>
        <w:t xml:space="preserve">Curadoria manual com seis notícias do portal da SENAPPEN ligadas à ONASP, à Rede de Ouvidorias e à qualificação dos canais de atendimento ao cidadão.</w:t>
      </w:r>
    </w:p>
    <w:p>
      <w:pPr>
        <w:pStyle w:val="BodyText"/>
      </w:pPr>
      <w:r>
        <w:t xml:space="preserve">Padrão visual recomendado para publicação:</w:t>
      </w:r>
    </w:p>
    <w:p>
      <w:pPr>
        <w:pStyle w:val="BodyText"/>
      </w:pPr>
      <w:r>
        <w:t xml:space="preserve">No protótipo, apresentar em seis cards editoriais compactos, em grade 3x2 inspirada na vitrine de notícias da ESPEN: imagem no topo, rubrica curta, título clicável, resumo breve e data. Na publicação gov.br, reproduzir com componente nativo equivalente, sem feed dinâmico e sem ícones de compartilhamento.</w:t>
      </w:r>
    </w:p>
    <w:p>
      <w:pPr>
        <w:pStyle w:val="BodyText"/>
      </w:pPr>
      <w:r>
        <w:t xml:space="preserve">Lista de notícias sugerida:</w:t>
      </w:r>
    </w:p>
    <w:p>
      <w:pPr>
        <w:pStyle w:val="Compact"/>
        <w:numPr>
          <w:ilvl w:val="0"/>
          <w:numId w:val="1006"/>
        </w:numPr>
      </w:pPr>
      <w:r>
        <w:t xml:space="preserve">27/04/2026 -</w:t>
      </w:r>
      <w:r>
        <w:t xml:space="preserve"> </w:t>
      </w:r>
      <w:hyperlink r:id="rId21">
        <w:r>
          <w:rPr>
            <w:rStyle w:val="Hyperlink"/>
          </w:rPr>
          <w:t xml:space="preserve">18ª Reunião do CONSEJ: SENAPPEN reforça parceria com estados para o aprimoramento das políticas penais</w:t>
        </w:r>
      </w:hyperlink>
      <w:r>
        <w:t xml:space="preserve"> </w:t>
      </w:r>
      <w:r>
        <w:t xml:space="preserve">Descrição: Pauta destacou a Ouvidoria e a EMA/SENAPPEN na articulação federativa.</w:t>
      </w:r>
    </w:p>
    <w:p>
      <w:pPr>
        <w:pStyle w:val="Compact"/>
        <w:numPr>
          <w:ilvl w:val="0"/>
          <w:numId w:val="1006"/>
        </w:numPr>
      </w:pPr>
      <w:r>
        <w:t xml:space="preserve">14/04/2026 -</w:t>
      </w:r>
      <w:r>
        <w:t xml:space="preserve"> </w:t>
      </w:r>
      <w:hyperlink r:id="rId22">
        <w:r>
          <w:rPr>
            <w:rStyle w:val="Hyperlink"/>
          </w:rPr>
          <w:t xml:space="preserve">SENAPPEN fomenta atuação da Ouvidoria da Polícia Penal de Goiás com apoio à modernização tecnológica</w:t>
        </w:r>
      </w:hyperlink>
      <w:r>
        <w:t xml:space="preserve"> </w:t>
      </w:r>
      <w:r>
        <w:t xml:space="preserve">Descrição: Ação ampliou a escuta institucional e o acesso aos canais de atendimento.</w:t>
      </w:r>
    </w:p>
    <w:p>
      <w:pPr>
        <w:pStyle w:val="Compact"/>
        <w:numPr>
          <w:ilvl w:val="0"/>
          <w:numId w:val="1006"/>
        </w:numPr>
      </w:pPr>
      <w:r>
        <w:t xml:space="preserve">13/04/2026 -</w:t>
      </w:r>
      <w:r>
        <w:t xml:space="preserve"> </w:t>
      </w:r>
      <w:hyperlink r:id="rId23">
        <w:r>
          <w:rPr>
            <w:rStyle w:val="Hyperlink"/>
          </w:rPr>
          <w:t xml:space="preserve">VI Encontro Nacional das Ouvidorias do Sistema Penal fortalece a escuta qualificada e a participação social</w:t>
        </w:r>
      </w:hyperlink>
      <w:r>
        <w:t xml:space="preserve"> </w:t>
      </w:r>
      <w:r>
        <w:t xml:space="preserve">Descrição: Encontro consolidou a RENOSPEN e publicou diretrizes para as ouvidorias.</w:t>
      </w:r>
    </w:p>
    <w:p>
      <w:pPr>
        <w:pStyle w:val="Compact"/>
        <w:numPr>
          <w:ilvl w:val="0"/>
          <w:numId w:val="1006"/>
        </w:numPr>
      </w:pPr>
      <w:r>
        <w:t xml:space="preserve">02/04/2026 -</w:t>
      </w:r>
      <w:r>
        <w:t xml:space="preserve"> </w:t>
      </w:r>
      <w:hyperlink r:id="rId24">
        <w:r>
          <w:rPr>
            <w:rStyle w:val="Hyperlink"/>
          </w:rPr>
          <w:t xml:space="preserve">Ouvidoria da SENAPPEN divulga orientações sobre recebimento e tratamento de denúncias</w:t>
        </w:r>
      </w:hyperlink>
      <w:r>
        <w:t xml:space="preserve"> </w:t>
      </w:r>
      <w:r>
        <w:t xml:space="preserve">Descrição: Fluxo reforça transparência, integridade institucional e proteção de direitos.</w:t>
      </w:r>
    </w:p>
    <w:p>
      <w:pPr>
        <w:pStyle w:val="Compact"/>
        <w:numPr>
          <w:ilvl w:val="0"/>
          <w:numId w:val="1006"/>
        </w:numPr>
      </w:pPr>
      <w:r>
        <w:t xml:space="preserve">01/12/2025 -</w:t>
      </w:r>
      <w:r>
        <w:t xml:space="preserve"> </w:t>
      </w:r>
      <w:hyperlink r:id="rId25">
        <w:r>
          <w:rPr>
            <w:rStyle w:val="Hyperlink"/>
          </w:rPr>
          <w:t xml:space="preserve">SENAPPEN participa de encontro nacional para fortalecer ouvidorias e redes de proteção social</w:t>
        </w:r>
      </w:hyperlink>
      <w:r>
        <w:t xml:space="preserve"> </w:t>
      </w:r>
      <w:r>
        <w:t xml:space="preserve">Descrição: Evento aproximou ouvidorias, assistência social e Plano Pena Justa.</w:t>
      </w:r>
    </w:p>
    <w:p>
      <w:pPr>
        <w:pStyle w:val="Compact"/>
        <w:numPr>
          <w:ilvl w:val="0"/>
          <w:numId w:val="1006"/>
        </w:numPr>
      </w:pPr>
      <w:r>
        <w:t xml:space="preserve">31/10/2025 -</w:t>
      </w:r>
      <w:r>
        <w:t xml:space="preserve"> </w:t>
      </w:r>
      <w:hyperlink r:id="rId26">
        <w:r>
          <w:rPr>
            <w:rStyle w:val="Hyperlink"/>
          </w:rPr>
          <w:t xml:space="preserve">Com foco em escuta qualificada, SENAPPEN amplia diálogo com ouvidorias de São Paulo e Goiás</w:t>
        </w:r>
      </w:hyperlink>
      <w:r>
        <w:t xml:space="preserve"> </w:t>
      </w:r>
      <w:r>
        <w:t xml:space="preserve">Descrição: Agenda fortaleceu a Rede Nacional de Ouvidorias e o intercâmbio com os estados.</w:t>
      </w:r>
    </w:p>
    <w:bookmarkEnd w:id="27"/>
    <w:bookmarkEnd w:id="28"/>
    <w:bookmarkStart w:id="29"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7"/>
        </w:numPr>
      </w:pPr>
      <w:r>
        <w:t xml:space="preserve">Atuar como espaço de difusão de referências técnicas úteis às ouvidorias de serviços penais.</w:t>
      </w:r>
    </w:p>
    <w:p>
      <w:pPr>
        <w:pStyle w:val="Compact"/>
        <w:numPr>
          <w:ilvl w:val="0"/>
          <w:numId w:val="1007"/>
        </w:numPr>
      </w:pPr>
      <w:r>
        <w:t xml:space="preserve">Fomentar o compartilhamento de práticas, fluxos e instrumentos voltados ao atendimento e ao encaminhamento de manifestações.</w:t>
      </w:r>
    </w:p>
    <w:p>
      <w:pPr>
        <w:pStyle w:val="Compact"/>
        <w:numPr>
          <w:ilvl w:val="0"/>
          <w:numId w:val="1007"/>
        </w:numPr>
      </w:pPr>
      <w:r>
        <w:t xml:space="preserve">Estimular a cooperação entre a União, os Estados e o Distrito Federal para o aprimoramento da atuação institucional.</w:t>
      </w:r>
    </w:p>
    <w:p>
      <w:pPr>
        <w:pStyle w:val="Compact"/>
        <w:numPr>
          <w:ilvl w:val="0"/>
          <w:numId w:val="1007"/>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8"/>
        </w:numPr>
      </w:pPr>
      <w:r>
        <w:t xml:space="preserve">Documentação/Banner_Renospen_1.jpeg</w:t>
      </w:r>
    </w:p>
    <w:p>
      <w:pPr>
        <w:pStyle w:val="Compact"/>
        <w:numPr>
          <w:ilvl w:val="0"/>
          <w:numId w:val="1008"/>
        </w:numPr>
      </w:pPr>
      <w:r>
        <w:t xml:space="preserve">Documentação/Banner_Renospen_2.jpeg</w:t>
      </w:r>
    </w:p>
    <w:p>
      <w:pPr>
        <w:pStyle w:val="Compact"/>
        <w:numPr>
          <w:ilvl w:val="0"/>
          <w:numId w:val="1008"/>
        </w:numPr>
      </w:pPr>
      <w:r>
        <w:t xml:space="preserve">Documentação/Banner_Renospen_3.jpeg</w:t>
      </w:r>
    </w:p>
    <w:p>
      <w:pPr>
        <w:pStyle w:val="FirstParagraph"/>
      </w:pPr>
      <w:r>
        <w:t xml:space="preserve">Ordem e destaque sugeridos:</w:t>
      </w:r>
    </w:p>
    <w:p>
      <w:pPr>
        <w:pStyle w:val="Compact"/>
        <w:numPr>
          <w:ilvl w:val="0"/>
          <w:numId w:val="1009"/>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9"/>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10"/>
        </w:numPr>
      </w:pPr>
      <w:r>
        <w:t xml:space="preserve">Clique e acesse a Instrução Normativa nº 75/2026: Subpages/Pena_justa/SEI_35153985_Instrucao_Normativa_75.pdf</w:t>
      </w:r>
    </w:p>
    <w:p>
      <w:pPr>
        <w:pStyle w:val="Compact"/>
        <w:numPr>
          <w:ilvl w:val="0"/>
          <w:numId w:val="1010"/>
        </w:numPr>
      </w:pPr>
      <w:r>
        <w:t xml:space="preserve">Clique e acesse a Portaria nº 549/2026 - Renospen: Subpages/Pena_justa/SEI_35032761_Portaria_549.pdf</w:t>
      </w:r>
    </w:p>
    <w:p>
      <w:pPr>
        <w:pStyle w:val="Compact"/>
        <w:numPr>
          <w:ilvl w:val="0"/>
          <w:numId w:val="1010"/>
        </w:numPr>
      </w:pPr>
      <w:r>
        <w:t xml:space="preserve">Clique e acesse o Plano Nacional Pena Justa: Subpages/Pena_justa/Plano_Nacional_Pena_Justa.pdf</w:t>
      </w:r>
    </w:p>
    <w:bookmarkEnd w:id="29"/>
    <w:bookmarkStart w:id="30"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1"/>
        </w:numPr>
      </w:pPr>
      <w:r>
        <w:t xml:space="preserve">Monitorar e acompanhar as estratégias adotadas pelo Estado Brasileiro para o cumprimento das decisões do SIDH em relação ao sistema penal.</w:t>
      </w:r>
    </w:p>
    <w:p>
      <w:pPr>
        <w:pStyle w:val="Compact"/>
        <w:numPr>
          <w:ilvl w:val="0"/>
          <w:numId w:val="1011"/>
        </w:numPr>
      </w:pPr>
      <w:r>
        <w:t xml:space="preserve">Prevenir e evitar possíveis condenações.</w:t>
      </w:r>
    </w:p>
    <w:p>
      <w:pPr>
        <w:pStyle w:val="Compact"/>
        <w:numPr>
          <w:ilvl w:val="0"/>
          <w:numId w:val="1011"/>
        </w:numPr>
      </w:pPr>
      <w:r>
        <w:t xml:space="preserve">Propagar a cultura de Direitos Humanos, fomentando a aplicação dos Tratados Internacionais sobre a matéria de Direito Penal pelos gestores do sistema penal nacional.</w:t>
      </w:r>
    </w:p>
    <w:p>
      <w:pPr>
        <w:pStyle w:val="Compact"/>
        <w:numPr>
          <w:ilvl w:val="0"/>
          <w:numId w:val="1011"/>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2"/>
        </w:numPr>
      </w:pPr>
      <w:r>
        <w:t xml:space="preserve">Documentação/Banner_Ema.jpg</w:t>
      </w:r>
    </w:p>
    <w:p>
      <w:pPr>
        <w:pStyle w:val="Compact"/>
        <w:numPr>
          <w:ilvl w:val="0"/>
          <w:numId w:val="1012"/>
        </w:numPr>
      </w:pPr>
      <w:r>
        <w:t xml:space="preserve">Documentação/Banner_Ema_2.jpg</w:t>
      </w:r>
    </w:p>
    <w:p>
      <w:pPr>
        <w:pStyle w:val="FirstParagraph"/>
      </w:pPr>
      <w:r>
        <w:t xml:space="preserve">Textos alternativos sugeridos:</w:t>
      </w:r>
    </w:p>
    <w:p>
      <w:pPr>
        <w:pStyle w:val="Compact"/>
        <w:numPr>
          <w:ilvl w:val="0"/>
          <w:numId w:val="1013"/>
        </w:numPr>
      </w:pPr>
      <w:r>
        <w:t xml:space="preserve">Participantes reunidos em mesa de trabalho institucional acompanhada pela EMA - SENAPPEN.</w:t>
      </w:r>
    </w:p>
    <w:p>
      <w:pPr>
        <w:pStyle w:val="Compact"/>
        <w:numPr>
          <w:ilvl w:val="0"/>
          <w:numId w:val="1013"/>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4"/>
        </w:numPr>
      </w:pPr>
      <w:r>
        <w:t xml:space="preserve">Reunião institucional acompanhada pela EMA - SENAPPEN.</w:t>
      </w:r>
    </w:p>
    <w:p>
      <w:pPr>
        <w:pStyle w:val="Compact"/>
        <w:numPr>
          <w:ilvl w:val="0"/>
          <w:numId w:val="1014"/>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5"/>
        </w:numPr>
      </w:pPr>
      <w:r>
        <w:t xml:space="preserve">Superlotação e ambiência no sistema prisional.</w:t>
      </w:r>
    </w:p>
    <w:p>
      <w:pPr>
        <w:pStyle w:val="Compact"/>
        <w:numPr>
          <w:ilvl w:val="0"/>
          <w:numId w:val="1015"/>
        </w:numPr>
      </w:pPr>
      <w:r>
        <w:t xml:space="preserve">Dignidade e condições de custódia.</w:t>
      </w:r>
    </w:p>
    <w:p>
      <w:pPr>
        <w:pStyle w:val="Compact"/>
        <w:numPr>
          <w:ilvl w:val="0"/>
          <w:numId w:val="1015"/>
        </w:numPr>
      </w:pPr>
      <w:r>
        <w:t xml:space="preserve">Acesso à justiça e prevenção à tortura.</w:t>
      </w:r>
    </w:p>
    <w:p>
      <w:pPr>
        <w:pStyle w:val="Compact"/>
        <w:numPr>
          <w:ilvl w:val="0"/>
          <w:numId w:val="1015"/>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6"/>
        </w:numPr>
      </w:pPr>
      <w:r>
        <w:t xml:space="preserve">O que é a CIDH?: https://www.oas.org/pt/cidh/mandato/que.asp</w:t>
      </w:r>
    </w:p>
    <w:p>
      <w:pPr>
        <w:pStyle w:val="Compact"/>
        <w:numPr>
          <w:ilvl w:val="0"/>
          <w:numId w:val="1016"/>
        </w:numPr>
      </w:pPr>
      <w:r>
        <w:t xml:space="preserve">O que é a Corte IDH?: https://www.corteidh.or.cr/que_es_la_corte.cfm?lang=pt</w:t>
      </w:r>
    </w:p>
    <w:p>
      <w:pPr>
        <w:pStyle w:val="Compact"/>
        <w:numPr>
          <w:ilvl w:val="0"/>
          <w:numId w:val="1016"/>
        </w:numPr>
      </w:pPr>
      <w:r>
        <w:t xml:space="preserve">Estatuto da Comissão Interamericana de Direitos Humanos: https://www.oas.org/pt/cidh/mandato/Basicos/estatutoCIDH.asp</w:t>
      </w:r>
    </w:p>
    <w:p>
      <w:pPr>
        <w:pStyle w:val="Compact"/>
        <w:numPr>
          <w:ilvl w:val="0"/>
          <w:numId w:val="1016"/>
        </w:numPr>
      </w:pPr>
      <w:r>
        <w:t xml:space="preserve">Declaração Americana de Direitos e Deveres do Homem: https://www.oas.org/pt/cidh/mandato/Basicos/declaracion.asp</w:t>
      </w:r>
    </w:p>
    <w:p>
      <w:pPr>
        <w:pStyle w:val="FirstParagraph"/>
      </w:pPr>
      <w:r>
        <w:t xml:space="preserve">Seção:</w:t>
      </w:r>
    </w:p>
    <w:bookmarkEnd w:id="30"/>
    <w:bookmarkStart w:id="31"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Imagem institucional a inserir logo abaixo do texto introdutório:</w:t>
      </w:r>
    </w:p>
    <w:p>
      <w:pPr>
        <w:pStyle w:val="Compact"/>
        <w:numPr>
          <w:ilvl w:val="0"/>
          <w:numId w:val="1017"/>
        </w:numPr>
      </w:pPr>
      <w:r>
        <w:t xml:space="preserve">Imagem:</w:t>
      </w:r>
      <w:r>
        <w:t xml:space="preserve"> </w:t>
      </w:r>
      <w:r>
        <w:rPr>
          <w:rStyle w:val="VerbatimChar"/>
        </w:rPr>
        <w:t xml:space="preserve">Documentação/Banner_PenaJusta_f1.jpg</w:t>
      </w:r>
    </w:p>
    <w:p>
      <w:pPr>
        <w:pStyle w:val="Compact"/>
        <w:numPr>
          <w:ilvl w:val="0"/>
          <w:numId w:val="1017"/>
        </w:numPr>
      </w:pPr>
      <w:r>
        <w:t xml:space="preserve">Texto de apoio acima da imagem: O registro abaixo documenta agenda institucional relacionada ao Plano Pena Justa e evidencia a participação da Onasp nos espaços de apresentação e articulação vinculados à ADPF 347.</w:t>
      </w:r>
    </w:p>
    <w:p>
      <w:pPr>
        <w:pStyle w:val="Compact"/>
        <w:numPr>
          <w:ilvl w:val="0"/>
          <w:numId w:val="1017"/>
        </w:numPr>
      </w:pPr>
      <w:r>
        <w:t xml:space="preserve">Texto de apoio abaixo da imagem: A presença dessa imagem reforça o caráter interinstitucional do Plano e a atuação da Ouvidoria em agendas de coordenação, acompanhamento e diálogo sobre a implementação das medidas pactuadas.</w:t>
      </w:r>
    </w:p>
    <w:p>
      <w:pPr>
        <w:pStyle w:val="FirstParagraph"/>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8"/>
        </w:numPr>
      </w:pPr>
      <w:r>
        <w:t xml:space="preserve">Controle da entrada e das vagas do sistema prisional.</w:t>
      </w:r>
    </w:p>
    <w:p>
      <w:pPr>
        <w:pStyle w:val="Compact"/>
        <w:numPr>
          <w:ilvl w:val="0"/>
          <w:numId w:val="1018"/>
        </w:numPr>
      </w:pPr>
      <w:r>
        <w:t xml:space="preserve">Qualidade da ambiência, dos serviços prestados e da estrutura prisional.</w:t>
      </w:r>
    </w:p>
    <w:p>
      <w:pPr>
        <w:pStyle w:val="Compact"/>
        <w:numPr>
          <w:ilvl w:val="0"/>
          <w:numId w:val="1018"/>
        </w:numPr>
      </w:pPr>
      <w:r>
        <w:t xml:space="preserve">Processos de saída da prisão e de reintegração social.</w:t>
      </w:r>
    </w:p>
    <w:p>
      <w:pPr>
        <w:pStyle w:val="Compact"/>
        <w:numPr>
          <w:ilvl w:val="0"/>
          <w:numId w:val="1018"/>
        </w:numPr>
      </w:pPr>
      <w:r>
        <w:t xml:space="preserve">Políticas de não repetição do Estado de Coisas Inconstitucional no sistema prisional.</w:t>
      </w:r>
    </w:p>
    <w:p>
      <w:pPr>
        <w:pStyle w:val="FirstParagraph"/>
      </w:pPr>
      <w:r>
        <w:t xml:space="preserve">Quadro de apoio a inserir logo abaixo da lista de eixos:</w:t>
      </w:r>
    </w:p>
    <w:p>
      <w:pPr>
        <w:pStyle w:val="Compact"/>
        <w:numPr>
          <w:ilvl w:val="0"/>
          <w:numId w:val="1019"/>
        </w:numPr>
      </w:pPr>
      <w:r>
        <w:t xml:space="preserve">Imagem:</w:t>
      </w:r>
      <w:r>
        <w:t xml:space="preserve"> </w:t>
      </w:r>
      <w:r>
        <w:rPr>
          <w:rStyle w:val="VerbatimChar"/>
        </w:rPr>
        <w:t xml:space="preserve">Documentação/Plano_pena_justa.png</w:t>
      </w:r>
    </w:p>
    <w:p>
      <w:pPr>
        <w:pStyle w:val="Compact"/>
        <w:numPr>
          <w:ilvl w:val="0"/>
          <w:numId w:val="1019"/>
        </w:numPr>
      </w:pPr>
      <w:r>
        <w:t xml:space="preserve">Texto de apoio acima da imagem: O quadro abaixo sintetiza medidas, metas e atores estratégicos dos eixos 2 e 4 com incidência direta sobre transparência, escuta institucional, canais de denúncia e fortalecimento das ouvidorias no sistema penal.</w:t>
      </w:r>
    </w:p>
    <w:p>
      <w:pPr>
        <w:pStyle w:val="Compact"/>
        <w:numPr>
          <w:ilvl w:val="0"/>
          <w:numId w:val="1019"/>
        </w:numPr>
      </w:pPr>
      <w:r>
        <w:t xml:space="preserve">Texto de apoio abaixo da imagem: No recorte de interesse da Onasp, o quadro destaca especialmente medidas voltadas à qualificação dos serviços prestados nas prisões, à institucionalização de canais efetivos de denúncia, à criação e estruturação de ouvidorias estaduais e ao fortalecimento de políticas de não repetição.</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20"/>
        </w:numPr>
      </w:pPr>
      <w:r>
        <w:t xml:space="preserve">Plano Nacional Pena Justa (PDF): Subpages/Pena_justa/Plano_Nacional_Pena_Justa.pdf</w:t>
      </w:r>
    </w:p>
    <w:p>
      <w:pPr>
        <w:pStyle w:val="Compact"/>
        <w:numPr>
          <w:ilvl w:val="0"/>
          <w:numId w:val="1020"/>
        </w:numPr>
      </w:pPr>
      <w:r>
        <w:t xml:space="preserve">10 coisas que você precisa saber sobre o Pena Justa (PDF): Subpages/Pena_justa/10_Coisas_que_você_precisa_saber_sobre_o_Pena_Justa.pdf</w:t>
      </w:r>
    </w:p>
    <w:bookmarkEnd w:id="31"/>
    <w:bookmarkStart w:id="32"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 e destaca dossiês, notícias editoriais e conteúdos com interface com participação social, transparência e direitos no sistema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21"/>
        </w:numPr>
      </w:pPr>
      <w:r>
        <w:t xml:space="preserve">Portal oficial da Revista Brasileira de Execução Penal: https://rbepsenappen.mj.gov.br/index.php/RBEP/pt_BR</w:t>
      </w:r>
    </w:p>
    <w:p>
      <w:pPr>
        <w:pStyle w:val="Compact"/>
        <w:numPr>
          <w:ilvl w:val="0"/>
          <w:numId w:val="1021"/>
        </w:numPr>
      </w:pPr>
      <w:r>
        <w:t xml:space="preserve">Edição atual - edição completa: https://rbepsenappen.mj.gov.br/index.php/RBEP/pt_BR/issue/view/22/58</w:t>
      </w:r>
    </w:p>
    <w:p>
      <w:pPr>
        <w:pStyle w:val="Compact"/>
        <w:numPr>
          <w:ilvl w:val="0"/>
          <w:numId w:val="1021"/>
        </w:numPr>
      </w:pPr>
      <w:r>
        <w:t xml:space="preserve">Ver todas as edições: https://rbepsenappen.mj.gov.br/index.php/RBEP/pt_BR/issue/archive</w:t>
      </w:r>
    </w:p>
    <w:p>
      <w:pPr>
        <w:pStyle w:val="Compact"/>
        <w:numPr>
          <w:ilvl w:val="0"/>
          <w:numId w:val="1021"/>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22"/>
        </w:numPr>
      </w:pPr>
      <w:r>
        <w:t xml:space="preserve">Qualis Capes 2021-2024: A4.</w:t>
      </w:r>
    </w:p>
    <w:p>
      <w:pPr>
        <w:pStyle w:val="Compact"/>
        <w:numPr>
          <w:ilvl w:val="0"/>
          <w:numId w:val="1022"/>
        </w:numPr>
      </w:pPr>
      <w:r>
        <w:t xml:space="preserve">ISSN: 2675-1895.</w:t>
      </w:r>
    </w:p>
    <w:p>
      <w:pPr>
        <w:pStyle w:val="Compact"/>
        <w:numPr>
          <w:ilvl w:val="0"/>
          <w:numId w:val="1022"/>
        </w:numPr>
      </w:pPr>
      <w:r>
        <w:t xml:space="preserve">e-ISSN: 2675-1860.</w:t>
      </w:r>
    </w:p>
    <w:p>
      <w:pPr>
        <w:pStyle w:val="Compact"/>
        <w:numPr>
          <w:ilvl w:val="0"/>
          <w:numId w:val="1022"/>
        </w:numPr>
      </w:pPr>
      <w:r>
        <w:t xml:space="preserve">Contato da revista: rbep@mj.gov.br.</w:t>
      </w:r>
    </w:p>
    <w:bookmarkEnd w:id="32"/>
    <w:bookmarkStart w:id="33"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33"/>
    <w:bookmarkStart w:id="34"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gov.br/senappen/pt-br/assuntos/noticias/18a-reuniao-do-consej-senappen-reforca-parceria-com-estados-para-o-aprimoramento-das-politicas-penais" TargetMode="External" /><Relationship Type="http://schemas.openxmlformats.org/officeDocument/2006/relationships/hyperlink" Id="rId26" Target="https://www.gov.br/senappen/pt-br/assuntos/noticias/com-foco-em-escuta-qualificada-senappen-amplia-dialogo-com-ouvidorias-de-sao-paulo-e-goias" TargetMode="External" /><Relationship Type="http://schemas.openxmlformats.org/officeDocument/2006/relationships/hyperlink" Id="rId24" Target="https://www.gov.br/senappen/pt-br/assuntos/noticias/ouvidoria-da-senappen-divulga-orientacoes-sobre-recebimento-e-tratamento-de-denuncias" TargetMode="External" /><Relationship Type="http://schemas.openxmlformats.org/officeDocument/2006/relationships/hyperlink" Id="rId22" Target="https://www.gov.br/senappen/pt-br/assuntos/noticias/senappen-fomenta-atuacao-da-ouvidoria-da-policia-penal-de-goias-com-apoio-a-modernizacao-tecnologica" TargetMode="External" /><Relationship Type="http://schemas.openxmlformats.org/officeDocument/2006/relationships/hyperlink" Id="rId25" Target="https://www.gov.br/senappen/pt-br/assuntos/noticias/senappen-participa-de-encontro-nacional-para-fortalecer-ouvidorias-e-redes-de-protecao-social" TargetMode="External" /><Relationship Type="http://schemas.openxmlformats.org/officeDocument/2006/relationships/hyperlink" Id="rId23" Target="https://www.gov.br/senappen/pt-br/assuntos/noticias/vi-encontro-nacional-das-ouvidorias-do-sistema-penal-fortalece-a-escuta-qualificada-e-a-participacao-social" TargetMode="External" /></Relationships>
</file>

<file path=word/_rels/footnotes.xml.rels><?xml version="1.0" encoding="UTF-8"?><Relationships xmlns="http://schemas.openxmlformats.org/package/2006/relationships"><Relationship Type="http://schemas.openxmlformats.org/officeDocument/2006/relationships/hyperlink" Id="rId21" Target="https://www.gov.br/senappen/pt-br/assuntos/noticias/18a-reuniao-do-consej-senappen-reforca-parceria-com-estados-para-o-aprimoramento-das-politicas-penais" TargetMode="External" /><Relationship Type="http://schemas.openxmlformats.org/officeDocument/2006/relationships/hyperlink" Id="rId26" Target="https://www.gov.br/senappen/pt-br/assuntos/noticias/com-foco-em-escuta-qualificada-senappen-amplia-dialogo-com-ouvidorias-de-sao-paulo-e-goias" TargetMode="External" /><Relationship Type="http://schemas.openxmlformats.org/officeDocument/2006/relationships/hyperlink" Id="rId24" Target="https://www.gov.br/senappen/pt-br/assuntos/noticias/ouvidoria-da-senappen-divulga-orientacoes-sobre-recebimento-e-tratamento-de-denuncias" TargetMode="External" /><Relationship Type="http://schemas.openxmlformats.org/officeDocument/2006/relationships/hyperlink" Id="rId22" Target="https://www.gov.br/senappen/pt-br/assuntos/noticias/senappen-fomenta-atuacao-da-ouvidoria-da-policia-penal-de-goias-com-apoio-a-modernizacao-tecnologica" TargetMode="External" /><Relationship Type="http://schemas.openxmlformats.org/officeDocument/2006/relationships/hyperlink" Id="rId25" Target="https://www.gov.br/senappen/pt-br/assuntos/noticias/senappen-participa-de-encontro-nacional-para-fortalecer-ouvidorias-e-redes-de-protecao-social" TargetMode="External" /><Relationship Type="http://schemas.openxmlformats.org/officeDocument/2006/relationships/hyperlink" Id="rId23" Target="https://www.gov.br/senappen/pt-br/assuntos/noticias/vi-encontro-nacional-das-ouvidorias-do-sistema-penal-fortalece-a-escuta-qualificada-e-a-participacao-so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2026-05-13T13:33:51Z</dcterms:created>
  <dcterms:modified xsi:type="dcterms:W3CDTF">2026-05-13T13:33:51Z</dcterms:modified>
</cp:coreProperties>
</file>

<file path=docProps/custom.xml><?xml version="1.0" encoding="utf-8"?>
<Properties xmlns="http://schemas.openxmlformats.org/officeDocument/2006/custom-properties" xmlns:vt="http://schemas.openxmlformats.org/officeDocument/2006/docPropsVTypes"/>
</file>